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400"/>
        </w:tabs>
        <w:spacing w:after="0" w:line="260" w:lineRule="auto"/>
        <w:ind w:left="1990" w:hanging="1990"/>
        <w:rPr>
          <w:rFonts w:ascii="Arial" w:hAnsi="Arial" w:eastAsia="宋体" w:cs="Arial"/>
          <w:b/>
          <w:sz w:val="28"/>
          <w:szCs w:val="24"/>
          <w:lang w:val="en-US" w:eastAsia="zh-CN"/>
        </w:rPr>
      </w:pPr>
      <w:r>
        <w:rPr>
          <w:rFonts w:ascii="Arial" w:hAnsi="Arial" w:cs="Arial"/>
          <w:b/>
          <w:sz w:val="28"/>
          <w:szCs w:val="24"/>
        </w:rPr>
        <w:t>3GPP TSG RAN Meeting #9</w:t>
      </w:r>
      <w:r>
        <w:rPr>
          <w:rFonts w:hint="eastAsia" w:ascii="Arial" w:hAnsi="Arial" w:eastAsia="宋体" w:cs="Arial"/>
          <w:b/>
          <w:sz w:val="28"/>
          <w:szCs w:val="24"/>
          <w:lang w:val="en-US" w:eastAsia="zh-CN"/>
        </w:rPr>
        <w:t>5</w:t>
      </w:r>
      <w:r>
        <w:rPr>
          <w:rFonts w:ascii="Arial" w:hAnsi="Arial" w:cs="Arial"/>
          <w:b/>
          <w:sz w:val="28"/>
          <w:szCs w:val="24"/>
        </w:rPr>
        <w:t>-e</w:t>
      </w:r>
      <w:r>
        <w:rPr>
          <w:rFonts w:hint="eastAsia" w:ascii="Arial" w:hAnsi="Arial" w:cs="Arial"/>
          <w:b/>
          <w:sz w:val="28"/>
          <w:szCs w:val="24"/>
          <w:lang w:eastAsia="zh-CN"/>
        </w:rPr>
        <w:tab/>
      </w:r>
      <w:r>
        <w:rPr>
          <w:rFonts w:hint="eastAsia" w:ascii="Arial" w:hAnsi="Arial" w:cs="Arial"/>
          <w:b/>
          <w:sz w:val="28"/>
          <w:szCs w:val="21"/>
          <w:lang w:val="en-US" w:eastAsia="zh-CN"/>
        </w:rPr>
        <w:t xml:space="preserve">RP-220784 </w:t>
      </w:r>
    </w:p>
    <w:p>
      <w:pPr>
        <w:keepLines/>
        <w:tabs>
          <w:tab w:val="left" w:pos="567"/>
        </w:tabs>
        <w:spacing w:after="180"/>
        <w:jc w:val="left"/>
        <w:rPr>
          <w:rFonts w:ascii="Arial" w:hAnsi="Arial" w:cs="Arial"/>
          <w:b/>
          <w:sz w:val="28"/>
          <w:szCs w:val="28"/>
          <w:lang w:val="en-US"/>
        </w:rPr>
      </w:pPr>
      <w:r>
        <w:rPr>
          <w:rFonts w:ascii="Arial" w:hAnsi="Arial" w:cs="Arial"/>
          <w:b/>
          <w:sz w:val="28"/>
          <w:szCs w:val="28"/>
          <w:lang w:val="en-US" w:eastAsia="zh-CN" w:bidi="ar"/>
        </w:rPr>
        <w:t>Electronic Meeting, March 17 - 23, 2022</w:t>
      </w:r>
    </w:p>
    <w:p>
      <w:pPr>
        <w:spacing w:after="0"/>
        <w:rPr>
          <w:rFonts w:ascii="Arial" w:hAnsi="Arial" w:cs="Arial"/>
          <w:b/>
          <w:sz w:val="24"/>
        </w:rPr>
      </w:pPr>
    </w:p>
    <w:p>
      <w:pPr>
        <w:keepLines/>
        <w:tabs>
          <w:tab w:val="left" w:pos="567"/>
        </w:tabs>
        <w:spacing w:after="180"/>
        <w:jc w:val="left"/>
        <w:rPr>
          <w:rFonts w:ascii="Arial" w:hAnsi="Arial"/>
          <w:b/>
          <w:lang w:val="en-US"/>
        </w:rPr>
      </w:pPr>
      <w:r>
        <w:rPr>
          <w:rFonts w:ascii="Arial" w:hAnsi="Arial"/>
          <w:b/>
          <w:lang w:val="en-US" w:eastAsia="zh-CN" w:bidi="ar"/>
        </w:rPr>
        <w:t>Agenda Item:</w:t>
      </w:r>
      <w:r>
        <w:rPr>
          <w:rFonts w:ascii="Arial" w:hAnsi="Arial"/>
          <w:lang w:val="en-US" w:eastAsia="zh-CN" w:bidi="ar"/>
        </w:rPr>
        <w:tab/>
      </w:r>
      <w:bookmarkStart w:id="0" w:name="Source"/>
      <w:bookmarkEnd w:id="0"/>
      <w:r>
        <w:rPr>
          <w:rFonts w:ascii="Arial" w:hAnsi="Arial"/>
          <w:b/>
          <w:lang w:val="en-US" w:eastAsia="zh-CN" w:bidi="ar"/>
        </w:rPr>
        <w:tab/>
      </w:r>
      <w:r>
        <w:rPr>
          <w:rFonts w:hint="eastAsia" w:ascii="Arial" w:hAnsi="Arial"/>
          <w:b/>
          <w:lang w:val="en-US" w:eastAsia="zh-CN" w:bidi="ar"/>
        </w:rPr>
        <w:t>9.5.1.7</w:t>
      </w:r>
    </w:p>
    <w:p>
      <w:pPr>
        <w:keepLines/>
        <w:tabs>
          <w:tab w:val="left" w:pos="567"/>
        </w:tabs>
        <w:spacing w:after="180"/>
        <w:jc w:val="left"/>
        <w:rPr>
          <w:rFonts w:ascii="Arial" w:hAnsi="Arial"/>
          <w:lang w:val="en-US"/>
        </w:rPr>
      </w:pPr>
      <w:r>
        <w:rPr>
          <w:rFonts w:ascii="Arial" w:hAnsi="Arial"/>
          <w:b/>
          <w:lang w:val="en-US" w:eastAsia="zh-CN" w:bidi="ar"/>
        </w:rPr>
        <w:t>Source:</w:t>
      </w:r>
      <w:r>
        <w:rPr>
          <w:rFonts w:ascii="Arial" w:hAnsi="Arial"/>
          <w:b/>
          <w:lang w:val="en-US" w:eastAsia="zh-CN" w:bidi="ar"/>
        </w:rPr>
        <w:tab/>
      </w:r>
      <w:r>
        <w:rPr>
          <w:rFonts w:ascii="Arial" w:hAnsi="Arial"/>
          <w:b/>
          <w:lang w:val="en-US" w:eastAsia="zh-CN" w:bidi="ar"/>
        </w:rPr>
        <w:tab/>
      </w:r>
      <w:r>
        <w:rPr>
          <w:rFonts w:ascii="Arial" w:hAnsi="Arial"/>
          <w:b/>
          <w:lang w:val="en-US" w:eastAsia="zh-CN" w:bidi="ar"/>
        </w:rPr>
        <w:t>ZTE, Sanechips</w:t>
      </w:r>
    </w:p>
    <w:p>
      <w:pPr>
        <w:keepLines/>
        <w:tabs>
          <w:tab w:val="left" w:pos="567"/>
        </w:tabs>
        <w:spacing w:after="180"/>
        <w:jc w:val="left"/>
        <w:rPr>
          <w:rFonts w:ascii="Arial" w:hAnsi="Arial"/>
          <w:lang w:val="en-US"/>
        </w:rPr>
      </w:pPr>
      <w:r>
        <w:rPr>
          <w:rFonts w:ascii="Arial" w:hAnsi="Arial"/>
          <w:b/>
          <w:lang w:val="en-US" w:eastAsia="zh-CN" w:bidi="ar"/>
        </w:rPr>
        <w:t>Title:</w:t>
      </w:r>
      <w:r>
        <w:rPr>
          <w:rFonts w:ascii="Arial" w:hAnsi="Arial"/>
          <w:lang w:val="en-US" w:eastAsia="zh-CN" w:bidi="ar"/>
        </w:rPr>
        <w:tab/>
      </w:r>
      <w:r>
        <w:rPr>
          <w:rFonts w:ascii="Arial" w:hAnsi="Arial"/>
          <w:lang w:val="en-US" w:eastAsia="zh-CN" w:bidi="ar"/>
        </w:rPr>
        <w:tab/>
      </w:r>
      <w:r>
        <w:rPr>
          <w:rFonts w:ascii="Arial" w:hAnsi="Arial"/>
          <w:lang w:val="en-US" w:eastAsia="zh-CN" w:bidi="ar"/>
        </w:rPr>
        <w:tab/>
      </w:r>
      <w:r>
        <w:rPr>
          <w:rFonts w:ascii="Arial" w:hAnsi="Arial"/>
          <w:lang w:val="en-US" w:eastAsia="zh-CN" w:bidi="ar"/>
        </w:rPr>
        <w:tab/>
      </w:r>
      <w:r>
        <w:rPr>
          <w:rFonts w:hint="eastAsia" w:ascii="Arial" w:hAnsi="Arial"/>
          <w:b/>
          <w:lang w:val="en-US" w:eastAsia="zh-CN" w:bidi="ar"/>
        </w:rPr>
        <w:t>Discussion on Rel-17 RedCap</w:t>
      </w:r>
    </w:p>
    <w:p>
      <w:pPr>
        <w:keepLines/>
        <w:tabs>
          <w:tab w:val="left" w:pos="567"/>
        </w:tabs>
        <w:spacing w:after="180"/>
        <w:jc w:val="left"/>
        <w:rPr>
          <w:rFonts w:ascii="Arial" w:hAnsi="Arial"/>
          <w:b/>
          <w:lang w:val="en-US"/>
        </w:rPr>
      </w:pPr>
      <w:r>
        <w:rPr>
          <w:rFonts w:ascii="Arial" w:hAnsi="Arial"/>
          <w:b/>
          <w:lang w:val="en-US" w:eastAsia="zh-CN" w:bidi="ar"/>
        </w:rPr>
        <w:t>Document for:</w:t>
      </w:r>
      <w:r>
        <w:rPr>
          <w:rFonts w:ascii="Arial" w:hAnsi="Arial"/>
          <w:lang w:val="en-US" w:eastAsia="zh-CN" w:bidi="ar"/>
        </w:rPr>
        <w:tab/>
      </w:r>
      <w:bookmarkStart w:id="1" w:name="DocumentFor"/>
      <w:bookmarkEnd w:id="1"/>
      <w:r>
        <w:rPr>
          <w:rFonts w:ascii="Arial" w:hAnsi="Arial"/>
          <w:lang w:val="en-US" w:eastAsia="zh-CN" w:bidi="ar"/>
        </w:rPr>
        <w:tab/>
      </w:r>
      <w:r>
        <w:rPr>
          <w:rFonts w:ascii="Arial" w:hAnsi="Arial"/>
          <w:b/>
          <w:lang w:val="en-US" w:eastAsia="zh-CN" w:bidi="ar"/>
        </w:rPr>
        <w:t>Discussion</w:t>
      </w:r>
    </w:p>
    <w:p>
      <w:pPr>
        <w:pStyle w:val="2"/>
        <w:pBdr>
          <w:top w:val="single" w:color="auto" w:sz="12" w:space="2"/>
        </w:pBdr>
        <w:spacing w:beforeLines="0" w:after="180" w:afterLines="50"/>
      </w:pPr>
      <w:r>
        <w:t>I</w:t>
      </w:r>
      <w:r>
        <w:rPr>
          <w:rFonts w:hint="eastAsia"/>
        </w:rPr>
        <w:t>ntroduction</w:t>
      </w:r>
    </w:p>
    <w:p>
      <w:pPr>
        <w:rPr>
          <w:lang w:val="en-US" w:eastAsia="zh-CN"/>
        </w:rPr>
      </w:pPr>
      <w:r>
        <w:rPr>
          <w:rFonts w:hint="eastAsia"/>
          <w:lang w:val="en-US" w:eastAsia="zh-CN"/>
        </w:rPr>
        <w:t>After RAN1 108e meeting, the RedCap status report in [1] is uploaded. There are some remaining issues especially for RAN1 and RAN4, which are listed as follow</w:t>
      </w:r>
      <w:r>
        <w:rPr>
          <w:lang w:val="en-US" w:eastAsia="zh-CN"/>
        </w:rPr>
        <w:t>s</w:t>
      </w:r>
      <w:r>
        <w:rPr>
          <w:rFonts w:hint="eastAsia"/>
          <w:lang w:val="en-US" w:eastAsia="zh-CN"/>
        </w:rPr>
        <w:t>:</w:t>
      </w:r>
    </w:p>
    <w:p>
      <w:pPr>
        <w:rPr>
          <w:lang w:eastAsia="ja-JP"/>
        </w:rPr>
      </w:pPr>
      <w:r>
        <w:rPr>
          <w:lang w:eastAsia="ja-JP"/>
        </w:rPr>
        <w:t>Remaining RAN1 issues: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numPr>
                <w:ilvl w:val="0"/>
                <w:numId w:val="3"/>
              </w:numPr>
              <w:overflowPunct/>
              <w:autoSpaceDE/>
              <w:autoSpaceDN/>
              <w:adjustRightInd/>
              <w:spacing w:after="0"/>
              <w:textAlignment w:val="auto"/>
              <w:rPr>
                <w:lang w:val="en-US"/>
              </w:rPr>
            </w:pPr>
            <w:r>
              <w:rPr>
                <w:lang w:val="en-US"/>
              </w:rPr>
              <w:t>Clarification of UE behavior when separate initial DL BWP is not configured</w:t>
            </w:r>
          </w:p>
          <w:p>
            <w:pPr>
              <w:numPr>
                <w:ilvl w:val="0"/>
                <w:numId w:val="3"/>
              </w:numPr>
              <w:overflowPunct/>
              <w:autoSpaceDE/>
              <w:autoSpaceDN/>
              <w:adjustRightInd/>
              <w:spacing w:after="0"/>
              <w:textAlignment w:val="auto"/>
              <w:rPr>
                <w:lang w:val="en-US"/>
              </w:rPr>
            </w:pPr>
            <w:r>
              <w:rPr>
                <w:lang w:val="en-US"/>
              </w:rPr>
              <w:t>Presence of SSB transmission in separate initial DL BWP in connected mode for BWP#0 configuration option 1</w:t>
            </w:r>
          </w:p>
          <w:p>
            <w:pPr>
              <w:numPr>
                <w:ilvl w:val="0"/>
                <w:numId w:val="3"/>
              </w:numPr>
              <w:overflowPunct/>
              <w:autoSpaceDE/>
              <w:autoSpaceDN/>
              <w:adjustRightInd/>
              <w:spacing w:after="0"/>
              <w:textAlignment w:val="auto"/>
              <w:rPr>
                <w:lang w:eastAsia="ja-JP"/>
              </w:rPr>
            </w:pPr>
            <w:r>
              <w:rPr>
                <w:lang w:val="en-US"/>
              </w:rPr>
              <w:t>Collision handling between SSB and Msg3 or PUCCH in response to Msg4/MsgB for HD-FDD UE</w:t>
            </w:r>
          </w:p>
        </w:tc>
      </w:tr>
    </w:tbl>
    <w:p>
      <w:pPr>
        <w:rPr>
          <w:lang w:eastAsia="ja-JP"/>
        </w:rPr>
      </w:pPr>
    </w:p>
    <w:p>
      <w:pPr>
        <w:rPr>
          <w:lang w:val="en-US" w:eastAsia="zh-CN"/>
        </w:rPr>
      </w:pPr>
      <w:r>
        <w:rPr>
          <w:lang w:eastAsia="ja-JP"/>
        </w:rPr>
        <w:t>Remaining RAN</w:t>
      </w:r>
      <w:r>
        <w:rPr>
          <w:rFonts w:hint="eastAsia" w:eastAsia="宋体"/>
          <w:lang w:val="en-US" w:eastAsia="zh-CN"/>
        </w:rPr>
        <w:t>4 open</w:t>
      </w:r>
      <w:r>
        <w:rPr>
          <w:lang w:eastAsia="ja-JP"/>
        </w:rPr>
        <w:t xml:space="preserve"> issues: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lang w:val="en-US" w:eastAsia="ja-JP"/>
              </w:rPr>
            </w:pPr>
            <w:r>
              <w:rPr>
                <w:lang w:val="en-US" w:eastAsia="ja-JP"/>
              </w:rPr>
              <w:t>UE RF requirements:</w:t>
            </w:r>
          </w:p>
          <w:p>
            <w:pPr>
              <w:keepLines/>
              <w:numPr>
                <w:ilvl w:val="0"/>
                <w:numId w:val="4"/>
              </w:numPr>
              <w:spacing w:after="0"/>
              <w:rPr>
                <w:bCs/>
              </w:rPr>
            </w:pPr>
            <w:r>
              <w:rPr>
                <w:bCs/>
              </w:rPr>
              <w:t>Agree RedCap operating band list and add the operating band clause</w:t>
            </w:r>
          </w:p>
          <w:p>
            <w:pPr>
              <w:keepLines/>
              <w:spacing w:after="0"/>
              <w:rPr>
                <w:bCs/>
              </w:rPr>
            </w:pPr>
          </w:p>
          <w:p>
            <w:pPr>
              <w:rPr>
                <w:lang w:val="en-US" w:eastAsia="ja-JP"/>
              </w:rPr>
            </w:pPr>
            <w:r>
              <w:rPr>
                <w:lang w:val="en-US" w:eastAsia="ja-JP"/>
              </w:rPr>
              <w:t>RRM requirements:</w:t>
            </w:r>
          </w:p>
          <w:p>
            <w:pPr>
              <w:pStyle w:val="27"/>
              <w:numPr>
                <w:ilvl w:val="0"/>
                <w:numId w:val="4"/>
              </w:numPr>
              <w:rPr>
                <w:bCs/>
              </w:rPr>
            </w:pPr>
            <w:r>
              <w:rPr>
                <w:bCs/>
              </w:rPr>
              <w:t>Measurement requirements in RRC_IDLE/INACTIVE states</w:t>
            </w:r>
          </w:p>
          <w:p>
            <w:pPr>
              <w:pStyle w:val="27"/>
              <w:numPr>
                <w:ilvl w:val="1"/>
                <w:numId w:val="4"/>
              </w:numPr>
              <w:rPr>
                <w:bCs/>
              </w:rPr>
            </w:pPr>
            <w:r>
              <w:rPr>
                <w:bCs/>
              </w:rPr>
              <w:t>Paging reception requirements</w:t>
            </w:r>
          </w:p>
          <w:p>
            <w:pPr>
              <w:pStyle w:val="27"/>
              <w:numPr>
                <w:ilvl w:val="1"/>
                <w:numId w:val="4"/>
              </w:numPr>
              <w:rPr>
                <w:bCs/>
              </w:rPr>
            </w:pPr>
            <w:r>
              <w:rPr>
                <w:bCs/>
              </w:rPr>
              <w:t>Small Data Transmissions requirements</w:t>
            </w:r>
          </w:p>
          <w:p>
            <w:pPr>
              <w:pStyle w:val="27"/>
              <w:numPr>
                <w:ilvl w:val="1"/>
                <w:numId w:val="4"/>
              </w:numPr>
              <w:rPr>
                <w:bCs/>
              </w:rPr>
            </w:pPr>
            <w:r>
              <w:rPr>
                <w:bCs/>
              </w:rPr>
              <w:t>eDRX in INACTIVE mode</w:t>
            </w:r>
          </w:p>
          <w:p>
            <w:pPr>
              <w:pStyle w:val="27"/>
              <w:numPr>
                <w:ilvl w:val="1"/>
                <w:numId w:val="4"/>
              </w:numPr>
              <w:rPr>
                <w:bCs/>
              </w:rPr>
            </w:pPr>
            <w:r>
              <w:rPr>
                <w:bCs/>
              </w:rPr>
              <w:t>RRM relaxation under eDRX</w:t>
            </w:r>
          </w:p>
          <w:p>
            <w:pPr>
              <w:pStyle w:val="27"/>
              <w:numPr>
                <w:ilvl w:val="0"/>
                <w:numId w:val="4"/>
              </w:numPr>
              <w:rPr>
                <w:bCs/>
              </w:rPr>
            </w:pPr>
            <w:r>
              <w:rPr>
                <w:bCs/>
              </w:rPr>
              <w:t>Requirements for RRC_CONNECTED state mobility</w:t>
            </w:r>
          </w:p>
          <w:p>
            <w:pPr>
              <w:pStyle w:val="27"/>
              <w:numPr>
                <w:ilvl w:val="1"/>
                <w:numId w:val="4"/>
              </w:numPr>
              <w:rPr>
                <w:bCs/>
              </w:rPr>
            </w:pPr>
            <w:r>
              <w:rPr>
                <w:bCs/>
              </w:rPr>
              <w:t>Handover delay requirements</w:t>
            </w:r>
          </w:p>
          <w:p>
            <w:pPr>
              <w:pStyle w:val="27"/>
              <w:numPr>
                <w:ilvl w:val="1"/>
                <w:numId w:val="4"/>
              </w:numPr>
              <w:rPr>
                <w:bCs/>
              </w:rPr>
            </w:pPr>
            <w:r>
              <w:rPr>
                <w:bCs/>
              </w:rPr>
              <w:t>Handover to RedCap specific BWP with and without NCD-SSB</w:t>
            </w:r>
          </w:p>
          <w:p>
            <w:pPr>
              <w:pStyle w:val="27"/>
              <w:numPr>
                <w:ilvl w:val="0"/>
                <w:numId w:val="4"/>
              </w:numPr>
              <w:rPr>
                <w:bCs/>
              </w:rPr>
            </w:pPr>
            <w:r>
              <w:rPr>
                <w:bCs/>
              </w:rPr>
              <w:t xml:space="preserve">Timing requirements </w:t>
            </w:r>
          </w:p>
          <w:p>
            <w:pPr>
              <w:pStyle w:val="27"/>
              <w:numPr>
                <w:ilvl w:val="1"/>
                <w:numId w:val="4"/>
              </w:numPr>
              <w:rPr>
                <w:bCs/>
              </w:rPr>
            </w:pPr>
            <w:r>
              <w:rPr>
                <w:bCs/>
              </w:rPr>
              <w:t>Timing requirements using NCD-SSB and CD-SSB</w:t>
            </w:r>
          </w:p>
          <w:p>
            <w:pPr>
              <w:pStyle w:val="27"/>
              <w:numPr>
                <w:ilvl w:val="0"/>
                <w:numId w:val="4"/>
              </w:numPr>
              <w:rPr>
                <w:bCs/>
              </w:rPr>
            </w:pPr>
            <w:r>
              <w:rPr>
                <w:bCs/>
              </w:rPr>
              <w:t xml:space="preserve">Signalling characteristics </w:t>
            </w:r>
          </w:p>
          <w:p>
            <w:pPr>
              <w:pStyle w:val="27"/>
              <w:numPr>
                <w:ilvl w:val="1"/>
                <w:numId w:val="4"/>
              </w:numPr>
              <w:rPr>
                <w:bCs/>
              </w:rPr>
            </w:pPr>
            <w:r>
              <w:rPr>
                <w:bCs/>
              </w:rPr>
              <w:t>BFD requirements</w:t>
            </w:r>
          </w:p>
          <w:p>
            <w:pPr>
              <w:pStyle w:val="27"/>
              <w:numPr>
                <w:ilvl w:val="1"/>
                <w:numId w:val="4"/>
              </w:numPr>
              <w:rPr>
                <w:bCs/>
              </w:rPr>
            </w:pPr>
            <w:r>
              <w:rPr>
                <w:bCs/>
              </w:rPr>
              <w:t>Uplink spatial relation switch delay</w:t>
            </w:r>
          </w:p>
          <w:p>
            <w:pPr>
              <w:pStyle w:val="27"/>
              <w:numPr>
                <w:ilvl w:val="0"/>
                <w:numId w:val="4"/>
              </w:numPr>
              <w:rPr>
                <w:bCs/>
              </w:rPr>
            </w:pPr>
            <w:r>
              <w:rPr>
                <w:bCs/>
              </w:rPr>
              <w:t>Measurement requirements in RRC_CONNECTED state</w:t>
            </w:r>
          </w:p>
          <w:p>
            <w:pPr>
              <w:pStyle w:val="27"/>
              <w:numPr>
                <w:ilvl w:val="1"/>
                <w:numId w:val="4"/>
              </w:numPr>
              <w:rPr>
                <w:bCs/>
              </w:rPr>
            </w:pPr>
            <w:r>
              <w:rPr>
                <w:bCs/>
              </w:rPr>
              <w:t>Serving and neighbour cell measurements using NCD-SSB</w:t>
            </w:r>
          </w:p>
          <w:p>
            <w:pPr>
              <w:pStyle w:val="27"/>
              <w:numPr>
                <w:ilvl w:val="1"/>
                <w:numId w:val="4"/>
              </w:numPr>
              <w:rPr>
                <w:bCs/>
              </w:rPr>
            </w:pPr>
            <w:r>
              <w:rPr>
                <w:bCs/>
              </w:rPr>
              <w:t>Inter-frequency without gap, CCSF outside gap</w:t>
            </w:r>
          </w:p>
          <w:p>
            <w:pPr>
              <w:pStyle w:val="27"/>
              <w:numPr>
                <w:ilvl w:val="1"/>
                <w:numId w:val="4"/>
              </w:numPr>
              <w:rPr>
                <w:bCs/>
              </w:rPr>
            </w:pPr>
            <w:r>
              <w:rPr>
                <w:bCs/>
              </w:rPr>
              <w:t>Cell detection (PSS/SSS) requirements</w:t>
            </w:r>
          </w:p>
          <w:p>
            <w:pPr>
              <w:pStyle w:val="27"/>
              <w:numPr>
                <w:ilvl w:val="1"/>
                <w:numId w:val="4"/>
              </w:numPr>
              <w:rPr>
                <w:bCs/>
              </w:rPr>
            </w:pPr>
            <w:r>
              <w:rPr>
                <w:bCs/>
              </w:rPr>
              <w:t>Time index detection delay requirements</w:t>
            </w:r>
          </w:p>
          <w:p>
            <w:pPr>
              <w:pStyle w:val="27"/>
              <w:numPr>
                <w:ilvl w:val="1"/>
                <w:numId w:val="4"/>
              </w:numPr>
              <w:rPr>
                <w:bCs/>
              </w:rPr>
            </w:pPr>
            <w:r>
              <w:rPr>
                <w:bCs/>
              </w:rPr>
              <w:t>CGI reading requirements</w:t>
            </w:r>
          </w:p>
          <w:p>
            <w:pPr>
              <w:pStyle w:val="27"/>
              <w:rPr>
                <w:bCs/>
              </w:rPr>
            </w:pPr>
          </w:p>
          <w:p>
            <w:pPr>
              <w:rPr>
                <w:lang w:eastAsia="ja-JP"/>
              </w:rPr>
            </w:pPr>
            <w:r>
              <w:rPr>
                <w:lang w:eastAsia="ja-JP"/>
              </w:rPr>
              <w:t>UE demodulation requirements:</w:t>
            </w:r>
          </w:p>
          <w:p>
            <w:pPr>
              <w:pStyle w:val="112"/>
              <w:numPr>
                <w:ilvl w:val="0"/>
                <w:numId w:val="5"/>
              </w:numPr>
              <w:ind w:leftChars="0"/>
            </w:pPr>
            <w:r>
              <w:t xml:space="preserve">Agreement of the detailed test parameters for UE demodulation and CQI reporting requirements. </w:t>
            </w:r>
          </w:p>
          <w:p>
            <w:pPr>
              <w:pStyle w:val="112"/>
              <w:numPr>
                <w:ilvl w:val="0"/>
                <w:numId w:val="5"/>
              </w:numPr>
              <w:ind w:leftChars="0"/>
            </w:pPr>
            <w:r>
              <w:t>Alignment of simulation results for UE demodulation requirements.</w:t>
            </w:r>
          </w:p>
          <w:p>
            <w:pPr>
              <w:pStyle w:val="112"/>
              <w:numPr>
                <w:ilvl w:val="0"/>
                <w:numId w:val="5"/>
              </w:numPr>
              <w:ind w:leftChars="0"/>
              <w:rPr>
                <w:lang w:val="en-US" w:eastAsia="zh-CN"/>
              </w:rPr>
            </w:pPr>
            <w:r>
              <w:t xml:space="preserve">CR for UE demodulation and CQI reporting requirements. </w:t>
            </w:r>
          </w:p>
        </w:tc>
      </w:tr>
    </w:tbl>
    <w:p>
      <w:pPr>
        <w:rPr>
          <w:lang w:val="en-US" w:eastAsia="zh-CN"/>
        </w:rPr>
      </w:pPr>
    </w:p>
    <w:p>
      <w:pPr>
        <w:spacing w:before="180" w:beforeLines="50" w:after="180" w:afterLines="50"/>
        <w:rPr>
          <w:rFonts w:eastAsia="宋体"/>
          <w:lang w:val="en-US" w:eastAsia="zh-CN"/>
        </w:rPr>
      </w:pPr>
      <w:r>
        <w:rPr>
          <w:rFonts w:hint="eastAsia" w:eastAsia="宋体"/>
          <w:lang w:val="en-US" w:eastAsia="zh-CN"/>
        </w:rPr>
        <w:t>A quarter extension is suggested in [1] for the Core part and performance part. A discussion is needed since it may affect the Rel-18 procedure.</w:t>
      </w:r>
    </w:p>
    <w:p>
      <w:pPr>
        <w:pStyle w:val="2"/>
        <w:spacing w:before="180"/>
        <w:rPr>
          <w:lang w:val="en-US"/>
        </w:rPr>
      </w:pPr>
      <w:r>
        <w:rPr>
          <w:rFonts w:hint="eastAsia"/>
          <w:lang w:val="en-US"/>
        </w:rPr>
        <w:t>Discussion</w:t>
      </w:r>
    </w:p>
    <w:p>
      <w:pPr>
        <w:rPr>
          <w:rFonts w:eastAsia="宋体"/>
          <w:b/>
          <w:bCs/>
          <w:u w:val="single"/>
          <w:lang w:val="en-US" w:eastAsia="zh-CN"/>
        </w:rPr>
      </w:pPr>
      <w:r>
        <w:rPr>
          <w:rFonts w:hint="eastAsia" w:eastAsia="宋体"/>
          <w:b/>
          <w:bCs/>
          <w:u w:val="single"/>
          <w:lang w:val="en-US" w:eastAsia="zh-CN"/>
        </w:rPr>
        <w:t>Rel-17 timeline extension</w:t>
      </w:r>
    </w:p>
    <w:p>
      <w:pPr>
        <w:rPr>
          <w:rFonts w:eastAsia="宋体"/>
          <w:lang w:val="en-US" w:eastAsia="zh-CN"/>
        </w:rPr>
      </w:pPr>
      <w:r>
        <w:rPr>
          <w:rFonts w:hint="eastAsia" w:eastAsia="宋体"/>
          <w:lang w:val="en-US" w:eastAsia="zh-CN"/>
        </w:rPr>
        <w:t>For the third RAN1 remaining issue, c</w:t>
      </w:r>
      <w:r>
        <w:rPr>
          <w:lang w:val="en-US"/>
        </w:rPr>
        <w:t>ollision handling between SSB and Msg3 or PUCCH</w:t>
      </w:r>
      <w:r>
        <w:rPr>
          <w:rFonts w:hint="eastAsia" w:eastAsia="宋体"/>
          <w:lang w:val="en-US" w:eastAsia="zh-CN"/>
        </w:rPr>
        <w:t xml:space="preserve">, it is actually achieved as a working assumption in RAN1 108e-meeting as follows.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after="0"/>
              <w:jc w:val="left"/>
              <w:rPr>
                <w:rFonts w:eastAsia="等线"/>
                <w:highlight w:val="darkYellow"/>
                <w:lang w:val="en-US" w:eastAsia="zh-CN"/>
              </w:rPr>
            </w:pPr>
            <w:r>
              <w:rPr>
                <w:rFonts w:ascii="Times" w:hAnsi="Times" w:eastAsia="等线"/>
                <w:szCs w:val="24"/>
                <w:highlight w:val="darkYellow"/>
                <w:lang w:val="en-US" w:eastAsia="zh-CN" w:bidi="ar"/>
              </w:rPr>
              <w:t>Working assumption:</w:t>
            </w:r>
            <w:r>
              <w:rPr>
                <w:rFonts w:eastAsia="宋体"/>
                <w:color w:val="FF0000"/>
                <w:lang w:val="en-US" w:eastAsia="zh-CN" w:bidi="ar"/>
              </w:rPr>
              <w:t xml:space="preserve"> [38.213, 38.214]</w:t>
            </w:r>
          </w:p>
          <w:p>
            <w:pPr>
              <w:numPr>
                <w:ilvl w:val="0"/>
                <w:numId w:val="6"/>
              </w:numPr>
              <w:tabs>
                <w:tab w:val="left" w:pos="720"/>
              </w:tabs>
              <w:spacing w:beforeAutospacing="1" w:after="0" w:afterAutospacing="1" w:line="251" w:lineRule="auto"/>
              <w:rPr>
                <w:rFonts w:ascii="Calibri" w:hAnsi="Calibri" w:eastAsia="Microsoft YaHei UI" w:cs="Calibri"/>
                <w:sz w:val="22"/>
                <w:szCs w:val="22"/>
                <w:lang w:val="en-US" w:eastAsia="zh-CN"/>
              </w:rPr>
            </w:pPr>
            <w:r>
              <w:rPr>
                <w:rFonts w:eastAsia="Microsoft YaHei UI"/>
                <w:lang w:val="en-US" w:eastAsia="zh-CN"/>
              </w:rPr>
              <w:t>For Case 5 of SSB overlapping with Msg3 (re)transmission or PUCCH for Msg4/MsgB, reuse the same handling as for other dynamically scheduled UL transmission and prioritize the SSB</w:t>
            </w:r>
          </w:p>
          <w:p>
            <w:pPr>
              <w:numPr>
                <w:ilvl w:val="1"/>
                <w:numId w:val="6"/>
              </w:numPr>
              <w:tabs>
                <w:tab w:val="left" w:pos="1440"/>
              </w:tabs>
              <w:spacing w:beforeAutospacing="1" w:after="0" w:afterAutospacing="1" w:line="251" w:lineRule="auto"/>
              <w:rPr>
                <w:rFonts w:eastAsia="宋体"/>
                <w:lang w:val="en-US" w:eastAsia="zh-CN"/>
              </w:rPr>
            </w:pPr>
            <w:r>
              <w:rPr>
                <w:rFonts w:eastAsia="Microsoft YaHei UI"/>
                <w:lang w:val="en-US" w:eastAsia="zh-CN"/>
              </w:rPr>
              <w:t>Note: Whether the above collision rule is reused for Msg3 PUSCH repetition is up to the agreement in the CE WI</w:t>
            </w:r>
          </w:p>
        </w:tc>
      </w:tr>
    </w:tbl>
    <w:p>
      <w:pPr>
        <w:rPr>
          <w:rFonts w:eastAsia="宋体"/>
          <w:lang w:val="en-US" w:eastAsia="zh-CN"/>
        </w:rPr>
      </w:pPr>
    </w:p>
    <w:p>
      <w:pPr>
        <w:rPr>
          <w:rFonts w:eastAsia="宋体"/>
          <w:lang w:val="en-US" w:eastAsia="zh-CN"/>
        </w:rPr>
      </w:pPr>
      <w:r>
        <w:rPr>
          <w:rFonts w:hint="eastAsia" w:eastAsia="宋体"/>
          <w:lang w:val="en-US" w:eastAsia="zh-CN"/>
        </w:rPr>
        <w:t>According to the last round discussion in RAN1</w:t>
      </w:r>
      <w:r>
        <w:rPr>
          <w:rFonts w:eastAsia="宋体"/>
          <w:lang w:val="en-US" w:eastAsia="zh-CN"/>
        </w:rPr>
        <w:t>#</w:t>
      </w:r>
      <w:r>
        <w:rPr>
          <w:rFonts w:hint="eastAsia" w:eastAsia="宋体"/>
          <w:lang w:val="en-US" w:eastAsia="zh-CN"/>
        </w:rPr>
        <w:t>108e</w:t>
      </w:r>
      <w:r>
        <w:rPr>
          <w:rFonts w:eastAsia="宋体"/>
          <w:lang w:val="en-US" w:eastAsia="zh-CN"/>
        </w:rPr>
        <w:t xml:space="preserve"> </w:t>
      </w:r>
      <w:r>
        <w:rPr>
          <w:rFonts w:hint="eastAsia" w:eastAsia="宋体"/>
          <w:lang w:val="en-US" w:eastAsia="zh-CN"/>
        </w:rPr>
        <w:t xml:space="preserve">meeting, actually no objection is received. Therefore, this working assumption can be confirmed quickly. </w:t>
      </w:r>
    </w:p>
    <w:p>
      <w:pPr>
        <w:rPr>
          <w:rFonts w:eastAsia="宋体"/>
          <w:bCs/>
          <w:lang w:val="en-US" w:eastAsia="zh-CN" w:bidi="ar"/>
        </w:rPr>
      </w:pPr>
      <w:r>
        <w:rPr>
          <w:rFonts w:hint="eastAsia" w:eastAsia="宋体"/>
          <w:lang w:val="en-US" w:eastAsia="zh-CN"/>
        </w:rPr>
        <w:t xml:space="preserve">For the second issue, presence of SSB transmission in separate initial DL BWP in connected mode for BWP#0 configuration option 1, the </w:t>
      </w:r>
      <w:r>
        <w:rPr>
          <w:rFonts w:eastAsia="宋体"/>
          <w:bCs/>
          <w:lang w:val="en-US" w:bidi="ar"/>
        </w:rPr>
        <w:t xml:space="preserve">two </w:t>
      </w:r>
      <w:r>
        <w:rPr>
          <w:rFonts w:hint="eastAsia" w:eastAsia="宋体"/>
          <w:bCs/>
          <w:lang w:val="en-US" w:eastAsia="zh-CN" w:bidi="ar"/>
        </w:rPr>
        <w:t xml:space="preserve">solutions are </w:t>
      </w:r>
      <w:r>
        <w:rPr>
          <w:rFonts w:eastAsia="宋体"/>
          <w:bCs/>
          <w:lang w:val="en-US" w:bidi="ar"/>
        </w:rPr>
        <w:t>presented in Proposal 3-1h</w:t>
      </w:r>
      <w:r>
        <w:rPr>
          <w:rFonts w:hint="eastAsia" w:eastAsia="宋体"/>
          <w:bCs/>
          <w:lang w:val="en-US" w:eastAsia="zh-CN" w:bidi="ar"/>
        </w:rPr>
        <w:t xml:space="preserv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rFonts w:eastAsia="Microsoft YaHei UI"/>
                <w:b/>
                <w:bCs/>
                <w:lang w:val="en-US" w:eastAsia="zh-CN"/>
              </w:rPr>
            </w:pPr>
            <w:r>
              <w:rPr>
                <w:b/>
                <w:highlight w:val="yellow"/>
                <w:lang w:val="en-US"/>
              </w:rPr>
              <w:t>High Priority Proposal 3-1h</w:t>
            </w:r>
            <w:r>
              <w:rPr>
                <w:b/>
                <w:bCs/>
                <w:lang w:val="en-US"/>
              </w:rPr>
              <w:t xml:space="preserve">: </w:t>
            </w:r>
            <w:r>
              <w:rPr>
                <w:rFonts w:eastAsia="Microsoft YaHei UI"/>
                <w:b/>
                <w:bCs/>
                <w:lang w:val="en-US" w:eastAsia="zh-CN"/>
              </w:rPr>
              <w:t>Down select between the following options during RAN1#108-e:</w:t>
            </w:r>
          </w:p>
          <w:p>
            <w:pPr>
              <w:numPr>
                <w:ilvl w:val="0"/>
                <w:numId w:val="7"/>
              </w:numPr>
              <w:spacing w:after="0" w:line="231" w:lineRule="atLeast"/>
              <w:rPr>
                <w:rFonts w:eastAsia="Microsoft YaHei UI"/>
                <w:b/>
                <w:bCs/>
                <w:lang w:val="en-US" w:eastAsia="zh-CN"/>
              </w:rPr>
            </w:pPr>
            <w:r>
              <w:rPr>
                <w:rFonts w:eastAsia="Microsoft YaHei UI"/>
                <w:b/>
                <w:bCs/>
                <w:lang w:val="en-US" w:eastAsia="zh-CN"/>
              </w:rPr>
              <w:t>Option 1:</w:t>
            </w:r>
          </w:p>
          <w:p>
            <w:pPr>
              <w:numPr>
                <w:ilvl w:val="1"/>
                <w:numId w:val="7"/>
              </w:numPr>
              <w:spacing w:after="0" w:line="231" w:lineRule="atLeast"/>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pPr>
              <w:numPr>
                <w:ilvl w:val="2"/>
                <w:numId w:val="7"/>
              </w:numPr>
              <w:spacing w:after="0" w:line="231" w:lineRule="atLeast"/>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 and the entire CORESET#0.</w:t>
            </w:r>
          </w:p>
          <w:p>
            <w:pPr>
              <w:numPr>
                <w:ilvl w:val="1"/>
                <w:numId w:val="7"/>
              </w:numPr>
              <w:spacing w:after="0" w:line="231" w:lineRule="atLeast"/>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pPr>
              <w:numPr>
                <w:ilvl w:val="2"/>
                <w:numId w:val="7"/>
              </w:numPr>
              <w:spacing w:after="0" w:line="231" w:lineRule="atLeast"/>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w:t>
            </w:r>
            <w:r>
              <w:rPr>
                <w:rFonts w:eastAsia="Microsoft YaHei UI"/>
                <w:b/>
                <w:bCs/>
                <w:strike/>
                <w:color w:val="0070C0"/>
                <w:lang w:val="en-US" w:eastAsia="zh-CN"/>
              </w:rPr>
              <w:t xml:space="preserve"> and the entire CORESET#0</w:t>
            </w:r>
            <w:r>
              <w:rPr>
                <w:rFonts w:eastAsia="Microsoft YaHei UI"/>
                <w:b/>
                <w:bCs/>
                <w:lang w:val="en-US" w:eastAsia="zh-CN"/>
              </w:rPr>
              <w:t>.</w:t>
            </w:r>
          </w:p>
          <w:p>
            <w:pPr>
              <w:numPr>
                <w:ilvl w:val="0"/>
                <w:numId w:val="7"/>
              </w:numPr>
              <w:spacing w:after="0" w:line="231" w:lineRule="atLeast"/>
              <w:rPr>
                <w:rFonts w:eastAsia="Microsoft YaHei UI"/>
                <w:b/>
                <w:bCs/>
                <w:lang w:val="en-US" w:eastAsia="zh-CN"/>
              </w:rPr>
            </w:pPr>
            <w:r>
              <w:rPr>
                <w:rFonts w:eastAsia="Microsoft YaHei UI"/>
                <w:b/>
                <w:bCs/>
                <w:lang w:val="en-US" w:eastAsia="zh-CN"/>
              </w:rPr>
              <w:t>Option 2:</w:t>
            </w:r>
          </w:p>
          <w:p>
            <w:pPr>
              <w:numPr>
                <w:ilvl w:val="1"/>
                <w:numId w:val="7"/>
              </w:numPr>
              <w:spacing w:after="0" w:line="231" w:lineRule="atLeast"/>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pPr>
              <w:numPr>
                <w:ilvl w:val="2"/>
                <w:numId w:val="7"/>
              </w:numPr>
              <w:spacing w:after="0" w:line="231" w:lineRule="atLeast"/>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pPr>
              <w:numPr>
                <w:ilvl w:val="3"/>
                <w:numId w:val="7"/>
              </w:numPr>
              <w:spacing w:after="0" w:line="231" w:lineRule="atLeast"/>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pPr>
              <w:numPr>
                <w:ilvl w:val="1"/>
                <w:numId w:val="7"/>
              </w:numPr>
              <w:spacing w:after="0" w:line="231" w:lineRule="atLeast"/>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pPr>
              <w:numPr>
                <w:ilvl w:val="2"/>
                <w:numId w:val="7"/>
              </w:numPr>
              <w:spacing w:after="0" w:line="231" w:lineRule="atLeast"/>
              <w:jc w:val="left"/>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val="en-US" w:eastAsia="zh-CN"/>
              </w:rPr>
              <w:t xml:space="preserve"> and the entire CORESET#0</w:t>
            </w:r>
            <w:r>
              <w:rPr>
                <w:rFonts w:eastAsia="Microsoft YaHei UI"/>
                <w:b/>
                <w:bCs/>
                <w:lang w:eastAsia="zh-CN"/>
              </w:rPr>
              <w:t>) from RAN1 perspective,</w:t>
            </w:r>
          </w:p>
          <w:p>
            <w:pPr>
              <w:numPr>
                <w:ilvl w:val="3"/>
                <w:numId w:val="7"/>
              </w:numPr>
              <w:spacing w:after="0" w:line="231" w:lineRule="atLeast"/>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pPr>
              <w:numPr>
                <w:ilvl w:val="1"/>
                <w:numId w:val="7"/>
              </w:numPr>
              <w:spacing w:after="0" w:line="231" w:lineRule="atLeast"/>
              <w:rPr>
                <w:rFonts w:eastAsia="Microsoft YaHei UI"/>
                <w:b/>
                <w:bCs/>
                <w:lang w:val="en-US" w:eastAsia="zh-CN"/>
              </w:rPr>
            </w:pPr>
            <w:r>
              <w:rPr>
                <w:rFonts w:eastAsia="Microsoft YaHei UI"/>
                <w:b/>
                <w:bCs/>
                <w:lang w:val="en-US" w:eastAsia="zh-CN"/>
              </w:rPr>
              <w:t xml:space="preserve">For BWP#0 configuration option 1, </w:t>
            </w:r>
            <w:r>
              <w:rPr>
                <w:rFonts w:eastAsia="Microsoft YaHei UI"/>
                <w:b/>
                <w:bCs/>
                <w:color w:val="FF0000"/>
                <w:lang w:val="en-US" w:eastAsia="zh-CN"/>
              </w:rPr>
              <w:t xml:space="preserve">upon successful completion of the random access procedure, </w:t>
            </w:r>
            <w:r>
              <w:rPr>
                <w:rFonts w:eastAsia="Microsoft YaHei UI"/>
                <w:b/>
                <w:bCs/>
                <w:lang w:val="en-US" w:eastAsia="zh-CN"/>
              </w:rPr>
              <w:t>a RedCap UE</w:t>
            </w:r>
            <w:r>
              <w:rPr>
                <w:rFonts w:eastAsia="Microsoft YaHei UI"/>
                <w:b/>
                <w:bCs/>
                <w:color w:val="FF0000"/>
                <w:lang w:val="en-US" w:eastAsia="zh-CN"/>
              </w:rPr>
              <w:t xml:space="preserve"> </w:t>
            </w:r>
            <w:r>
              <w:rPr>
                <w:rFonts w:hint="eastAsia" w:eastAsia="Microsoft YaHei UI"/>
                <w:b/>
                <w:bCs/>
                <w:color w:val="FF0000"/>
                <w:lang w:val="en-US" w:eastAsia="zh-CN"/>
              </w:rPr>
              <w:t>supporting FG 6-1 only (but not FG 6-1a)</w:t>
            </w:r>
            <w:r>
              <w:rPr>
                <w:rFonts w:eastAsia="Microsoft YaHei UI"/>
                <w:b/>
                <w:bCs/>
                <w:color w:val="FF0000"/>
                <w:lang w:val="en-US" w:eastAsia="zh-CN"/>
              </w:rPr>
              <w:t xml:space="preserve"> </w:t>
            </w:r>
            <w:r>
              <w:rPr>
                <w:rFonts w:eastAsia="Microsoft YaHei UI"/>
                <w:b/>
                <w:bCs/>
                <w:lang w:val="en-US" w:eastAsia="zh-CN"/>
              </w:rPr>
              <w:t xml:space="preserve">in connected mode is not required to </w:t>
            </w:r>
            <w:r>
              <w:rPr>
                <w:rFonts w:eastAsia="Microsoft YaHei UI"/>
                <w:b/>
                <w:bCs/>
                <w:strike/>
                <w:color w:val="FF0000"/>
                <w:lang w:val="en-US" w:eastAsia="zh-CN"/>
              </w:rPr>
              <w:t xml:space="preserve">receive </w:t>
            </w:r>
            <w:r>
              <w:rPr>
                <w:rFonts w:eastAsia="Yu Mincho"/>
                <w:b/>
                <w:bCs/>
                <w:strike/>
                <w:color w:val="FF0000"/>
                <w:lang w:val="en-US"/>
              </w:rPr>
              <w:t>any DL signals except for RACH-related messages and RRC-based BWP switch signal</w:t>
            </w:r>
            <w:r>
              <w:rPr>
                <w:rFonts w:eastAsia="Yu Mincho"/>
                <w:b/>
                <w:bCs/>
                <w:color w:val="FF0000"/>
                <w:lang w:val="en-US"/>
              </w:rPr>
              <w:t xml:space="preserve"> operate </w:t>
            </w:r>
            <w:r>
              <w:rPr>
                <w:rFonts w:eastAsia="Microsoft YaHei UI"/>
                <w:b/>
                <w:bCs/>
                <w:lang w:val="en-US" w:eastAsia="zh-CN"/>
              </w:rPr>
              <w:t>on a separate initial DL BWP that does not contain SSB.</w:t>
            </w:r>
          </w:p>
          <w:p>
            <w:pPr>
              <w:numPr>
                <w:ilvl w:val="1"/>
                <w:numId w:val="7"/>
              </w:numPr>
              <w:spacing w:after="0" w:line="231" w:lineRule="atLeast"/>
              <w:rPr>
                <w:rFonts w:eastAsia="宋体"/>
                <w:bCs/>
                <w:lang w:val="en-US" w:eastAsia="zh-CN" w:bidi="ar"/>
              </w:rPr>
            </w:pPr>
            <w:r>
              <w:rPr>
                <w:rFonts w:eastAsia="Microsoft YaHei UI"/>
                <w:b/>
                <w:bCs/>
                <w:lang w:val="en-US" w:eastAsia="zh-CN"/>
              </w:rPr>
              <w:t>Note: The network may choose to configure SSB or MIB-configured CORESET#0 or SIB1 to be within the respective DL BWP.</w:t>
            </w:r>
          </w:p>
        </w:tc>
      </w:tr>
    </w:tbl>
    <w:p>
      <w:pPr>
        <w:rPr>
          <w:rFonts w:eastAsia="宋体"/>
          <w:bCs/>
          <w:lang w:val="en-US" w:eastAsia="zh-CN" w:bidi="ar"/>
        </w:rPr>
      </w:pPr>
      <w:r>
        <w:rPr>
          <w:rFonts w:hint="eastAsia" w:eastAsia="宋体"/>
          <w:bCs/>
          <w:lang w:val="en-US" w:eastAsia="zh-CN" w:bidi="ar"/>
        </w:rPr>
        <w:t>If no consensus is achieved for this issue, then the behavior based on current agreement related to UE capability should be followed. That is, if a RedCap UE support</w:t>
      </w:r>
      <w:r>
        <w:rPr>
          <w:rFonts w:eastAsia="宋体"/>
          <w:bCs/>
          <w:lang w:val="en-US" w:eastAsia="zh-CN" w:bidi="ar"/>
        </w:rPr>
        <w:t>s</w:t>
      </w:r>
      <w:r>
        <w:rPr>
          <w:rFonts w:hint="eastAsia" w:eastAsia="宋体"/>
          <w:bCs/>
          <w:lang w:val="en-US" w:eastAsia="zh-CN" w:bidi="ar"/>
        </w:rPr>
        <w:t xml:space="preserve"> 6-1a, no special UE behavior should be specified. If a RedCap UE only supports 6-1</w:t>
      </w:r>
      <w:r>
        <w:rPr>
          <w:rFonts w:eastAsia="宋体"/>
          <w:bCs/>
          <w:lang w:val="en-US" w:eastAsia="zh-CN" w:bidi="ar"/>
        </w:rPr>
        <w:t xml:space="preserve"> (but not FG 6-1a)</w:t>
      </w:r>
      <w:r>
        <w:rPr>
          <w:rFonts w:hint="eastAsia" w:eastAsia="宋体"/>
          <w:bCs/>
          <w:lang w:val="en-US" w:eastAsia="zh-CN" w:bidi="ar"/>
        </w:rPr>
        <w:t>, then</w:t>
      </w:r>
      <w:r>
        <w:rPr>
          <w:rFonts w:eastAsia="宋体"/>
          <w:bCs/>
          <w:lang w:val="en-US" w:eastAsia="zh-CN" w:bidi="ar"/>
        </w:rPr>
        <w:t xml:space="preserve"> there is no consensus</w:t>
      </w:r>
      <w:r>
        <w:rPr>
          <w:rFonts w:hint="eastAsia" w:eastAsia="宋体"/>
          <w:bCs/>
          <w:lang w:val="en-US" w:eastAsia="zh-CN" w:bidi="ar"/>
        </w:rPr>
        <w:t xml:space="preserve"> </w:t>
      </w:r>
      <w:r>
        <w:rPr>
          <w:rFonts w:eastAsia="宋体"/>
          <w:bCs/>
          <w:lang w:val="en-US" w:eastAsia="zh-CN" w:bidi="ar"/>
        </w:rPr>
        <w:t>that a</w:t>
      </w:r>
      <w:r>
        <w:rPr>
          <w:rFonts w:hint="eastAsia" w:eastAsia="宋体"/>
          <w:bCs/>
          <w:lang w:val="en-US" w:eastAsia="zh-CN" w:bidi="ar"/>
        </w:rPr>
        <w:t xml:space="preserve"> separate initial DL BWP </w:t>
      </w:r>
      <w:r>
        <w:rPr>
          <w:rFonts w:eastAsia="宋体"/>
          <w:bCs/>
          <w:lang w:val="en-US" w:eastAsia="zh-CN" w:bidi="ar"/>
        </w:rPr>
        <w:t xml:space="preserve">can be </w:t>
      </w:r>
      <w:r>
        <w:rPr>
          <w:rFonts w:hint="eastAsia" w:eastAsia="宋体"/>
          <w:bCs/>
          <w:lang w:val="en-US" w:eastAsia="zh-CN" w:bidi="ar"/>
        </w:rPr>
        <w:t>used in connected mode when it does not contain CD-SSB and the entire CORESET#0.</w:t>
      </w:r>
    </w:p>
    <w:p>
      <w:pPr>
        <w:rPr>
          <w:rFonts w:eastAsia="宋体"/>
          <w:bCs/>
          <w:lang w:val="en-US" w:eastAsia="zh-CN" w:bidi="ar"/>
        </w:rPr>
      </w:pPr>
    </w:p>
    <w:p>
      <w:pPr>
        <w:rPr>
          <w:rFonts w:eastAsia="宋体"/>
          <w:bCs/>
          <w:lang w:val="en-US" w:eastAsia="zh-CN" w:bidi="ar"/>
        </w:rPr>
      </w:pPr>
      <w:r>
        <w:rPr>
          <w:rFonts w:hint="eastAsia" w:eastAsia="宋体"/>
          <w:bCs/>
          <w:lang w:val="en-US" w:eastAsia="zh-CN" w:bidi="ar"/>
        </w:rPr>
        <w:t>For the first issue, c</w:t>
      </w:r>
      <w:r>
        <w:rPr>
          <w:lang w:val="en-US"/>
        </w:rPr>
        <w:t>larification of UE behavior when separate initial DL BWP</w:t>
      </w:r>
      <w:r>
        <w:rPr>
          <w:rFonts w:hint="eastAsia" w:eastAsia="宋体"/>
          <w:lang w:val="en-US" w:eastAsia="zh-CN"/>
        </w:rPr>
        <w:t xml:space="preserve">, the three solutions at most are presented </w:t>
      </w:r>
      <w:r>
        <w:rPr>
          <w:rFonts w:eastAsia="宋体"/>
          <w:bCs/>
          <w:lang w:val="en-US" w:bidi="ar"/>
        </w:rPr>
        <w:t>in Proposal 2-1-2b</w:t>
      </w:r>
      <w:r>
        <w:rPr>
          <w:rFonts w:hint="eastAsia" w:eastAsia="宋体"/>
          <w:bCs/>
          <w:lang w:val="en-US" w:eastAsia="zh-CN" w:bidi="ar"/>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b/>
                <w:bCs/>
                <w:lang w:val="en-US"/>
              </w:rPr>
            </w:pPr>
            <w:r>
              <w:rPr>
                <w:b/>
                <w:highlight w:val="yellow"/>
                <w:lang w:val="en-US"/>
              </w:rPr>
              <w:t>High Priority Proposal 2-1-2b</w:t>
            </w:r>
            <w:r>
              <w:rPr>
                <w:b/>
                <w:bCs/>
                <w:lang w:val="en-US"/>
              </w:rPr>
              <w:t>: For the case that the initial DL BWP for non-RedCap UEs is wider than the maximum RedCap UE bandwidth,</w:t>
            </w:r>
            <w:r>
              <w:rPr>
                <w:b/>
                <w:bCs/>
                <w:color w:val="FF0000"/>
                <w:lang w:val="en-US"/>
              </w:rPr>
              <w:t xml:space="preserve"> the UE behavior is up to RAN2, e.g., according to one of the following options:</w:t>
            </w:r>
          </w:p>
          <w:p>
            <w:pPr>
              <w:pStyle w:val="112"/>
              <w:numPr>
                <w:ilvl w:val="0"/>
                <w:numId w:val="8"/>
              </w:numPr>
              <w:ind w:left="1160"/>
              <w:rPr>
                <w:b/>
                <w:bCs/>
                <w:lang w:val="en-US"/>
              </w:rPr>
            </w:pPr>
            <w:r>
              <w:rPr>
                <w:b/>
                <w:bCs/>
                <w:lang w:val="en-US"/>
              </w:rPr>
              <w:t>Option 1: A separate initial DL BWP is always configured for RedCap if the initial DL BWP for non-RedCap UEs is wider than the maximum RedCap UE bandwidth.</w:t>
            </w:r>
          </w:p>
          <w:p>
            <w:pPr>
              <w:pStyle w:val="112"/>
              <w:numPr>
                <w:ilvl w:val="1"/>
                <w:numId w:val="8"/>
              </w:numPr>
              <w:ind w:left="1160"/>
              <w:rPr>
                <w:b/>
                <w:bCs/>
                <w:color w:val="FF0000"/>
                <w:lang w:val="en-US"/>
              </w:rPr>
            </w:pPr>
            <w:r>
              <w:rPr>
                <w:b/>
                <w:bCs/>
                <w:color w:val="FF0000"/>
                <w:lang w:val="en-US"/>
              </w:rPr>
              <w:t>Note: For TDD, the center frequencies of the separate initial DL BWP and the initial UL BWP are aligned (in accordance with earlier agreement).</w:t>
            </w:r>
          </w:p>
          <w:p>
            <w:pPr>
              <w:pStyle w:val="112"/>
              <w:numPr>
                <w:ilvl w:val="0"/>
                <w:numId w:val="8"/>
              </w:numPr>
              <w:ind w:left="1160"/>
              <w:rPr>
                <w:b/>
                <w:bCs/>
                <w:strike/>
                <w:color w:val="A6A6A6" w:themeColor="background1" w:themeShade="A6"/>
                <w:lang w:val="en-US"/>
              </w:rPr>
            </w:pPr>
            <w:r>
              <w:rPr>
                <w:b/>
                <w:bCs/>
                <w:strike/>
                <w:color w:val="A6A6A6" w:themeColor="background1" w:themeShade="A6"/>
                <w:lang w:val="en-US"/>
              </w:rPr>
              <w:t>Option 2a: If a separate initial DL BWP is not configured for RedCap, the RedCap UE continues to use at least the location, bandwidth, SCS, and cyclic prefix of the MIB-configured CORESET#0.</w:t>
            </w:r>
          </w:p>
          <w:p>
            <w:pPr>
              <w:pStyle w:val="112"/>
              <w:numPr>
                <w:ilvl w:val="1"/>
                <w:numId w:val="8"/>
              </w:numPr>
              <w:ind w:left="1160"/>
              <w:rPr>
                <w:b/>
                <w:bCs/>
                <w:strike/>
                <w:color w:val="A6A6A6" w:themeColor="background1" w:themeShade="A6"/>
                <w:lang w:val="en-US"/>
              </w:rPr>
            </w:pPr>
            <w:r>
              <w:rPr>
                <w:b/>
                <w:bCs/>
                <w:strike/>
                <w:color w:val="A6A6A6" w:themeColor="background1" w:themeShade="A6"/>
                <w:lang w:val="en-US"/>
              </w:rPr>
              <w:t>For TDD, the total frequency span of MIB-configured CORESET#0 and the initial UL BWP does not exceed the RedCap UE maximum bandwidth.</w:t>
            </w:r>
          </w:p>
          <w:p>
            <w:pPr>
              <w:pStyle w:val="112"/>
              <w:numPr>
                <w:ilvl w:val="0"/>
                <w:numId w:val="8"/>
              </w:numPr>
              <w:ind w:left="1160"/>
              <w:rPr>
                <w:b/>
                <w:bCs/>
                <w:lang w:val="en-US"/>
              </w:rPr>
            </w:pPr>
            <w:r>
              <w:rPr>
                <w:b/>
                <w:bCs/>
                <w:lang w:val="en-US"/>
              </w:rPr>
              <w:t>Option 2b: If a separate initial DL BWP is not configured for RedCap, the RedCap UE continues to use at least the location, bandwidth, SCS, and cyclic prefix of the MIB-configured CORESET#0.</w:t>
            </w:r>
          </w:p>
          <w:p>
            <w:pPr>
              <w:rPr>
                <w:rFonts w:eastAsia="宋体"/>
                <w:bCs/>
                <w:lang w:val="en-US" w:eastAsia="zh-CN" w:bidi="ar"/>
              </w:rPr>
            </w:pPr>
            <w:r>
              <w:rPr>
                <w:b/>
                <w:bCs/>
                <w:lang w:val="en-US"/>
              </w:rPr>
              <w:t>For TDD, the center frequencies of the MIB-configured CORESET#0 and the initial UL BWP are aligned.</w:t>
            </w:r>
          </w:p>
        </w:tc>
      </w:tr>
    </w:tbl>
    <w:p>
      <w:pPr>
        <w:rPr>
          <w:rFonts w:eastAsia="宋体"/>
          <w:bCs/>
          <w:lang w:val="en-US" w:eastAsia="zh-CN" w:bidi="ar"/>
        </w:rPr>
      </w:pPr>
    </w:p>
    <w:p>
      <w:pPr>
        <w:rPr>
          <w:rFonts w:eastAsia="宋体"/>
          <w:bCs/>
          <w:lang w:val="en-US" w:eastAsia="zh-CN" w:bidi="ar"/>
        </w:rPr>
      </w:pPr>
      <w:r>
        <w:rPr>
          <w:rFonts w:hint="eastAsia" w:eastAsia="宋体"/>
          <w:bCs/>
          <w:lang w:val="en-US" w:eastAsia="zh-CN" w:bidi="ar"/>
        </w:rPr>
        <w:t>Actually, the solutions for the first issue and the second issue are quite clear and any one of them can work in the network. If no consensus is achieved for this issue, legacy behavior should be followed, that is the MIB-configured CORESET#0 should be aligned with initial UL BWP when the initial DL BWP for non-RedCap is larger than RedCap UE bandwidth, since no initial DL BWP is configured for RedCap and the CORESET#0 should be viewed as the initial DL BWP for RedCap.</w:t>
      </w:r>
    </w:p>
    <w:p>
      <w:pPr>
        <w:rPr>
          <w:rFonts w:eastAsia="宋体"/>
          <w:lang w:val="en-US" w:eastAsia="zh-CN"/>
        </w:rPr>
      </w:pPr>
      <w:r>
        <w:rPr>
          <w:rFonts w:hint="eastAsia" w:eastAsia="宋体"/>
          <w:bCs/>
          <w:lang w:val="en-US" w:eastAsia="zh-CN" w:bidi="ar"/>
        </w:rPr>
        <w:t xml:space="preserve">Therefore, </w:t>
      </w:r>
      <w:r>
        <w:rPr>
          <w:rFonts w:hint="eastAsia" w:eastAsia="宋体"/>
          <w:lang w:val="en-US" w:eastAsia="zh-CN"/>
        </w:rPr>
        <w:t xml:space="preserve">from RAN1 perspective, there is no need to spend more TUs by extending one more quarter to discuss it. </w:t>
      </w:r>
    </w:p>
    <w:p>
      <w:pPr>
        <w:rPr>
          <w:lang w:val="en-US" w:eastAsia="zh-CN"/>
        </w:rPr>
      </w:pPr>
      <w:r>
        <w:rPr>
          <w:rFonts w:hint="eastAsia" w:eastAsia="宋体"/>
          <w:b/>
          <w:bCs/>
          <w:i/>
          <w:iCs/>
          <w:lang w:val="en-US" w:eastAsia="zh-CN"/>
        </w:rPr>
        <w:t xml:space="preserve">Observation 1: If no consensus for RAN1 remaining issues is achieved, current agreement or legacy behavior can be followed. </w:t>
      </w:r>
    </w:p>
    <w:p>
      <w:pPr>
        <w:rPr>
          <w:rFonts w:eastAsia="宋体"/>
          <w:bCs/>
          <w:lang w:val="en-US" w:eastAsia="zh-CN" w:bidi="ar"/>
        </w:rPr>
      </w:pPr>
      <w:r>
        <w:rPr>
          <w:rFonts w:hint="eastAsia" w:eastAsia="宋体"/>
          <w:bCs/>
          <w:lang w:val="en-US" w:eastAsia="zh-CN" w:bidi="ar"/>
        </w:rPr>
        <w:t xml:space="preserve">For the RAN4 remaining issues, actually, the performance part actually has a delay of half a year compared with the core part. There are still half year remained even there is no extension. Especially for the support of RedCap operating band, it has been discussed for about four RAN4 meetings plus additional two </w:t>
      </w:r>
      <w:bookmarkStart w:id="2" w:name="OLE_LINK2"/>
      <w:r>
        <w:rPr>
          <w:rFonts w:hint="eastAsia" w:eastAsia="宋体"/>
          <w:bCs/>
          <w:lang w:val="en-US" w:eastAsia="zh-CN" w:bidi="ar"/>
        </w:rPr>
        <w:t xml:space="preserve">RAN </w:t>
      </w:r>
      <w:bookmarkStart w:id="3" w:name="OLE_LINK1"/>
      <w:r>
        <w:rPr>
          <w:rFonts w:hint="eastAsia" w:eastAsia="宋体"/>
          <w:bCs/>
          <w:lang w:val="en-US" w:eastAsia="zh-CN" w:bidi="ar"/>
        </w:rPr>
        <w:t xml:space="preserve">plenary </w:t>
      </w:r>
      <w:bookmarkEnd w:id="3"/>
      <w:r>
        <w:rPr>
          <w:rFonts w:hint="eastAsia" w:eastAsia="宋体"/>
          <w:bCs/>
          <w:lang w:val="en-US" w:eastAsia="zh-CN" w:bidi="ar"/>
        </w:rPr>
        <w:t>meeting</w:t>
      </w:r>
      <w:bookmarkEnd w:id="2"/>
      <w:r>
        <w:rPr>
          <w:rFonts w:hint="eastAsia" w:eastAsia="宋体"/>
          <w:bCs/>
          <w:lang w:val="en-US" w:eastAsia="zh-CN" w:bidi="ar"/>
        </w:rPr>
        <w:t xml:space="preserve">s, but no final consensus were achieved. In terms of the previous discussion in RAN4, </w:t>
      </w:r>
      <w:r>
        <w:rPr>
          <w:rFonts w:eastAsia="宋体"/>
          <w:bCs/>
          <w:lang w:val="en-US" w:eastAsia="zh-CN" w:bidi="ar"/>
        </w:rPr>
        <w:t>one of the</w:t>
      </w:r>
      <w:r>
        <w:rPr>
          <w:rFonts w:hint="eastAsia" w:eastAsia="宋体"/>
          <w:bCs/>
          <w:lang w:val="en-US" w:eastAsia="zh-CN" w:bidi="ar"/>
        </w:rPr>
        <w:t xml:space="preserve"> main reason</w:t>
      </w:r>
      <w:r>
        <w:rPr>
          <w:rFonts w:eastAsia="宋体"/>
          <w:bCs/>
          <w:lang w:val="en-US" w:eastAsia="zh-CN" w:bidi="ar"/>
        </w:rPr>
        <w:t>s of the slow progress</w:t>
      </w:r>
      <w:r>
        <w:rPr>
          <w:rFonts w:hint="eastAsia" w:eastAsia="宋体"/>
          <w:bCs/>
          <w:lang w:val="en-US" w:eastAsia="zh-CN" w:bidi="ar"/>
        </w:rPr>
        <w:t xml:space="preserve"> was that different companies share different understandings on the RAN#93 plenary agreements on the supporting SUL bands for RedCap. Therefore, in our understanding, this issue shall be resolved in the </w:t>
      </w:r>
      <w:bookmarkStart w:id="4" w:name="OLE_LINK3"/>
      <w:r>
        <w:rPr>
          <w:rFonts w:hint="eastAsia" w:eastAsia="宋体"/>
          <w:bCs/>
          <w:lang w:val="en-US" w:eastAsia="zh-CN" w:bidi="ar"/>
        </w:rPr>
        <w:t>March RAN plenary meeting</w:t>
      </w:r>
      <w:bookmarkEnd w:id="4"/>
      <w:r>
        <w:rPr>
          <w:rFonts w:hint="eastAsia" w:eastAsia="宋体"/>
          <w:bCs/>
          <w:lang w:val="en-US" w:eastAsia="zh-CN" w:bidi="ar"/>
        </w:rPr>
        <w:t>, rather than in RAN4 meetings. Otherwise, endless discussion would happen in the future RAN4 meeting without further agreements in RAN plenary meeting. From this perspective, we don</w:t>
      </w:r>
      <w:r>
        <w:rPr>
          <w:rFonts w:eastAsia="宋体"/>
          <w:bCs/>
          <w:lang w:val="en-US" w:eastAsia="zh-CN" w:bidi="ar"/>
        </w:rPr>
        <w:t>’</w:t>
      </w:r>
      <w:r>
        <w:rPr>
          <w:rFonts w:hint="eastAsia" w:eastAsia="宋体"/>
          <w:bCs/>
          <w:lang w:val="en-US" w:eastAsia="zh-CN" w:bidi="ar"/>
        </w:rPr>
        <w:t xml:space="preserve">t see there are benefits to extend one more quarter. </w:t>
      </w:r>
    </w:p>
    <w:p>
      <w:pPr>
        <w:rPr>
          <w:rFonts w:eastAsia="宋体"/>
          <w:b/>
          <w:bCs/>
          <w:i/>
          <w:iCs/>
          <w:lang w:val="en-US" w:eastAsia="zh-CN"/>
        </w:rPr>
      </w:pPr>
      <w:r>
        <w:rPr>
          <w:rFonts w:hint="eastAsia" w:eastAsia="宋体"/>
          <w:b/>
          <w:bCs/>
          <w:i/>
          <w:iCs/>
          <w:lang w:val="en-US" w:eastAsia="zh-CN"/>
        </w:rPr>
        <w:t xml:space="preserve">Observation 2: RAN4 </w:t>
      </w:r>
      <w:r>
        <w:rPr>
          <w:rFonts w:eastAsia="宋体"/>
          <w:b/>
          <w:bCs/>
          <w:i/>
          <w:iCs/>
          <w:lang w:val="en-US" w:eastAsia="zh-CN"/>
        </w:rPr>
        <w:t xml:space="preserve">performance part </w:t>
      </w:r>
      <w:r>
        <w:rPr>
          <w:rFonts w:hint="eastAsia" w:eastAsia="宋体"/>
          <w:b/>
          <w:bCs/>
          <w:i/>
          <w:iCs/>
          <w:lang w:val="en-US" w:eastAsia="zh-CN"/>
        </w:rPr>
        <w:t>still has half year and the necessity to decide the timeline extension is not foreseen currently.</w:t>
      </w:r>
    </w:p>
    <w:p>
      <w:pPr>
        <w:rPr>
          <w:rFonts w:eastAsia="宋体"/>
          <w:lang w:val="en-US" w:eastAsia="zh-CN"/>
        </w:rPr>
      </w:pPr>
      <w:r>
        <w:rPr>
          <w:rFonts w:hint="eastAsia" w:eastAsia="宋体"/>
          <w:lang w:val="en-US" w:eastAsia="zh-CN"/>
        </w:rPr>
        <w:t xml:space="preserve">Additionally, we should notice that Rel-17 RedCap discussion extension has an impact on other Rel-18 topic discussion since TUs is limited. Given these remaining issues, they actually would not have impacts on the Rel-18 RedCap SI stage. Even if </w:t>
      </w:r>
      <w:r>
        <w:rPr>
          <w:rFonts w:eastAsia="宋体"/>
          <w:lang w:val="en-US" w:eastAsia="zh-CN"/>
        </w:rPr>
        <w:t>there is a need to define or clarify different</w:t>
      </w:r>
      <w:r>
        <w:rPr>
          <w:rFonts w:hint="eastAsia" w:eastAsia="宋体"/>
          <w:lang w:val="en-US" w:eastAsia="zh-CN"/>
        </w:rPr>
        <w:t xml:space="preserve"> behavior for RedCap in CR stage, this could be viewed as </w:t>
      </w:r>
      <w:r>
        <w:rPr>
          <w:rFonts w:eastAsia="宋体"/>
          <w:lang w:val="en-US" w:eastAsia="zh-CN"/>
        </w:rPr>
        <w:t>a UE</w:t>
      </w:r>
      <w:r>
        <w:rPr>
          <w:rFonts w:hint="eastAsia" w:eastAsia="宋体"/>
          <w:lang w:val="en-US" w:eastAsia="zh-CN"/>
        </w:rPr>
        <w:t xml:space="preserve"> capability to support, which would </w:t>
      </w:r>
      <w:r>
        <w:rPr>
          <w:rFonts w:eastAsia="宋体"/>
          <w:lang w:val="en-US" w:eastAsia="zh-CN"/>
        </w:rPr>
        <w:t>avoid</w:t>
      </w:r>
      <w:r>
        <w:rPr>
          <w:rFonts w:hint="eastAsia" w:eastAsia="宋体"/>
          <w:lang w:val="en-US" w:eastAsia="zh-CN"/>
        </w:rPr>
        <w:t xml:space="preserve"> the compatible issues. Therefore, these remaining issues can be further discussed in maintenance phase or decided in RAN-P if no consensus is achieved in RAN1 discussion.</w:t>
      </w:r>
    </w:p>
    <w:p>
      <w:pPr>
        <w:rPr>
          <w:rFonts w:eastAsia="宋体"/>
          <w:b/>
          <w:bCs/>
          <w:i/>
          <w:iCs/>
          <w:lang w:val="en-US" w:eastAsia="zh-CN"/>
        </w:rPr>
      </w:pPr>
      <w:r>
        <w:rPr>
          <w:rFonts w:hint="eastAsia" w:eastAsia="宋体"/>
          <w:b/>
          <w:bCs/>
          <w:i/>
          <w:iCs/>
          <w:lang w:val="en-US" w:eastAsia="zh-CN"/>
        </w:rPr>
        <w:t>Observation 3:Rel-17 extension requires occupying Rel-18 discussion TUs</w:t>
      </w:r>
    </w:p>
    <w:p>
      <w:pPr>
        <w:rPr>
          <w:rFonts w:eastAsia="宋体"/>
          <w:b/>
          <w:bCs/>
          <w:i/>
          <w:iCs/>
          <w:lang w:val="en-US" w:eastAsia="zh-CN"/>
        </w:rPr>
      </w:pPr>
      <w:r>
        <w:rPr>
          <w:rFonts w:hint="eastAsia" w:eastAsia="宋体"/>
          <w:b/>
          <w:bCs/>
          <w:i/>
          <w:iCs/>
          <w:lang w:val="en-US" w:eastAsia="zh-CN"/>
        </w:rPr>
        <w:t>Proposal 1: RAN1 remaining issues can be further discussed in maintenance phase</w:t>
      </w:r>
    </w:p>
    <w:p>
      <w:pPr>
        <w:numPr>
          <w:ilvl w:val="0"/>
          <w:numId w:val="9"/>
        </w:numPr>
        <w:rPr>
          <w:rFonts w:eastAsia="宋体"/>
          <w:b/>
          <w:bCs/>
          <w:i/>
          <w:iCs/>
          <w:lang w:val="en-US" w:eastAsia="zh-CN"/>
        </w:rPr>
      </w:pPr>
      <w:r>
        <w:rPr>
          <w:rFonts w:hint="eastAsia" w:eastAsia="宋体"/>
          <w:b/>
          <w:bCs/>
          <w:i/>
          <w:iCs/>
          <w:lang w:val="en-US" w:eastAsia="zh-CN"/>
        </w:rPr>
        <w:t>Overall Completion level for the Core part is 100%</w:t>
      </w:r>
    </w:p>
    <w:p>
      <w:pPr>
        <w:rPr>
          <w:rFonts w:eastAsia="宋体"/>
          <w:b/>
          <w:bCs/>
          <w:i/>
          <w:iCs/>
          <w:lang w:val="en-US" w:eastAsia="zh-CN"/>
        </w:rPr>
      </w:pPr>
    </w:p>
    <w:p>
      <w:pPr>
        <w:rPr>
          <w:rFonts w:eastAsia="宋体"/>
          <w:b/>
          <w:bCs/>
          <w:u w:val="single"/>
          <w:lang w:val="en-US" w:eastAsia="zh-CN"/>
        </w:rPr>
      </w:pPr>
      <w:r>
        <w:rPr>
          <w:rFonts w:hint="eastAsia" w:eastAsia="宋体"/>
          <w:b/>
          <w:bCs/>
          <w:u w:val="single"/>
          <w:lang w:val="en-US" w:eastAsia="zh-CN"/>
        </w:rPr>
        <w:t>Per UE or Per band</w:t>
      </w:r>
    </w:p>
    <w:p>
      <w:pPr>
        <w:rPr>
          <w:lang w:val="en-US" w:eastAsia="zh-CN"/>
        </w:rPr>
      </w:pPr>
      <w:r>
        <w:rPr>
          <w:rFonts w:hint="eastAsia"/>
          <w:lang w:val="en-US" w:eastAsia="zh-CN"/>
        </w:rPr>
        <w:t xml:space="preserve">For RedCap UE FG28-1, according to the discussion, we have the following summary table  </w:t>
      </w:r>
    </w:p>
    <w:tbl>
      <w:tblPr>
        <w:tblStyle w:val="29"/>
        <w:tblW w:w="0" w:type="auto"/>
        <w:tblInd w:w="0" w:type="dxa"/>
        <w:shd w:val="clear" w:color="auto" w:fill="FFFFFF"/>
        <w:tblLayout w:type="autofit"/>
        <w:tblCellMar>
          <w:top w:w="0" w:type="dxa"/>
          <w:left w:w="0" w:type="dxa"/>
          <w:bottom w:w="0" w:type="dxa"/>
          <w:right w:w="0" w:type="dxa"/>
        </w:tblCellMar>
      </w:tblPr>
      <w:tblGrid>
        <w:gridCol w:w="3193"/>
        <w:gridCol w:w="2783"/>
        <w:gridCol w:w="3595"/>
      </w:tblGrid>
      <w:tr>
        <w:tblPrEx>
          <w:shd w:val="clear" w:color="auto" w:fill="FFFFFF"/>
          <w:tblCellMar>
            <w:top w:w="0" w:type="dxa"/>
            <w:left w:w="0" w:type="dxa"/>
            <w:bottom w:w="0" w:type="dxa"/>
            <w:right w:w="0" w:type="dxa"/>
          </w:tblCellMar>
        </w:tblPrEx>
        <w:tc>
          <w:tcPr>
            <w:tcW w:w="3193"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b/>
                <w:sz w:val="20"/>
                <w:szCs w:val="20"/>
              </w:rPr>
              <w:t>Discussion point</w:t>
            </w:r>
          </w:p>
        </w:tc>
        <w:tc>
          <w:tcPr>
            <w:tcW w:w="2783" w:type="dxa"/>
            <w:tcBorders>
              <w:top w:val="single" w:color="auto" w:sz="8" w:space="0"/>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b/>
                <w:sz w:val="20"/>
                <w:szCs w:val="20"/>
              </w:rPr>
              <w:t>Per UE</w:t>
            </w:r>
          </w:p>
        </w:tc>
        <w:tc>
          <w:tcPr>
            <w:tcW w:w="3595" w:type="dxa"/>
            <w:tcBorders>
              <w:top w:val="single" w:color="auto" w:sz="8" w:space="0"/>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b/>
                <w:sz w:val="20"/>
                <w:szCs w:val="20"/>
              </w:rPr>
              <w:t>Per band</w:t>
            </w:r>
          </w:p>
        </w:tc>
      </w:tr>
      <w:tr>
        <w:tblPrEx>
          <w:tblCellMar>
            <w:top w:w="0" w:type="dxa"/>
            <w:left w:w="0" w:type="dxa"/>
            <w:bottom w:w="0" w:type="dxa"/>
            <w:right w:w="0" w:type="dxa"/>
          </w:tblCellMar>
        </w:tblPrEx>
        <w:tc>
          <w:tcPr>
            <w:tcW w:w="3193" w:type="dxa"/>
            <w:tcBorders>
              <w:top w:val="nil"/>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IODT for unlicensed and NTN bands</w:t>
            </w:r>
          </w:p>
        </w:tc>
        <w:tc>
          <w:tcPr>
            <w:tcW w:w="2783"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RAN2 may introduce TN/NTN differentiation method</w:t>
            </w:r>
          </w:p>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 xml:space="preserve">Existing </w:t>
            </w:r>
            <w:r>
              <w:rPr>
                <w:rFonts w:hint="eastAsia" w:asciiTheme="minorHAnsi"/>
                <w:sz w:val="20"/>
                <w:szCs w:val="20"/>
              </w:rPr>
              <w:t xml:space="preserve">supported </w:t>
            </w:r>
            <w:r>
              <w:rPr>
                <w:rFonts w:eastAsia="Segoe UI" w:asciiTheme="minorHAnsi"/>
                <w:sz w:val="20"/>
                <w:szCs w:val="20"/>
              </w:rPr>
              <w:t xml:space="preserve">band </w:t>
            </w:r>
            <w:r>
              <w:rPr>
                <w:rFonts w:hint="eastAsia" w:asciiTheme="minorHAnsi"/>
                <w:sz w:val="20"/>
                <w:szCs w:val="20"/>
              </w:rPr>
              <w:t xml:space="preserve">list capability </w:t>
            </w:r>
            <w:r>
              <w:rPr>
                <w:rFonts w:eastAsia="Segoe UI" w:asciiTheme="minorHAnsi"/>
                <w:sz w:val="20"/>
                <w:szCs w:val="20"/>
              </w:rPr>
              <w:t>can be used</w:t>
            </w:r>
          </w:p>
        </w:tc>
        <w:tc>
          <w:tcPr>
            <w:tcW w:w="3595"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Can be reported independently</w:t>
            </w:r>
          </w:p>
        </w:tc>
      </w:tr>
      <w:tr>
        <w:tblPrEx>
          <w:tblCellMar>
            <w:top w:w="0" w:type="dxa"/>
            <w:left w:w="0" w:type="dxa"/>
            <w:bottom w:w="0" w:type="dxa"/>
            <w:right w:w="0" w:type="dxa"/>
          </w:tblCellMar>
        </w:tblPrEx>
        <w:tc>
          <w:tcPr>
            <w:tcW w:w="3193" w:type="dxa"/>
            <w:tcBorders>
              <w:top w:val="nil"/>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Operation in a cell where CBW does not exceed RedCap BW, no identifiable functional or performance difference, etc.</w:t>
            </w:r>
          </w:p>
        </w:tc>
        <w:tc>
          <w:tcPr>
            <w:tcW w:w="2783"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Reported as RedCap UE</w:t>
            </w:r>
          </w:p>
        </w:tc>
        <w:tc>
          <w:tcPr>
            <w:tcW w:w="3595"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Can be reported as non-RedCap UE</w:t>
            </w:r>
          </w:p>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device can declare itself as non-redcap on a given band ONLY WHEN it supports all the functionalities and performance requirement required for non-Redcap UEs for that band</w:t>
            </w:r>
          </w:p>
        </w:tc>
      </w:tr>
      <w:tr>
        <w:tblPrEx>
          <w:tblCellMar>
            <w:top w:w="0" w:type="dxa"/>
            <w:left w:w="0" w:type="dxa"/>
            <w:bottom w:w="0" w:type="dxa"/>
            <w:right w:w="0" w:type="dxa"/>
          </w:tblCellMar>
        </w:tblPrEx>
        <w:tc>
          <w:tcPr>
            <w:tcW w:w="3193" w:type="dxa"/>
            <w:tcBorders>
              <w:top w:val="nil"/>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rPr>
              <w:t>Constraining the use of those RedCap capabilities only for RedCap UEs, and preventing RedCap UEs from using capabilities not intended for RedCap UEs</w:t>
            </w:r>
          </w:p>
        </w:tc>
        <w:tc>
          <w:tcPr>
            <w:tcW w:w="2783"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MS PGothic" w:asciiTheme="minorHAnsi"/>
                <w:sz w:val="20"/>
                <w:szCs w:val="20"/>
              </w:rPr>
            </w:pPr>
            <w:r>
              <w:rPr>
                <w:rFonts w:eastAsia="Segoe UI" w:asciiTheme="minorHAnsi"/>
                <w:sz w:val="20"/>
                <w:szCs w:val="20"/>
                <w:shd w:val="clear" w:color="auto" w:fill="FFFFFF"/>
              </w:rPr>
              <w:t>A</w:t>
            </w:r>
            <w:r>
              <w:rPr>
                <w:rFonts w:asciiTheme="minorHAnsi"/>
                <w:sz w:val="20"/>
                <w:szCs w:val="20"/>
                <w:shd w:val="clear" w:color="auto" w:fill="FFFFFF"/>
              </w:rPr>
              <w:t xml:space="preserve"> RedCap</w:t>
            </w:r>
            <w:r>
              <w:rPr>
                <w:rFonts w:eastAsia="Segoe UI" w:asciiTheme="minorHAnsi"/>
                <w:sz w:val="20"/>
                <w:szCs w:val="20"/>
                <w:shd w:val="clear" w:color="auto" w:fill="FFFFFF"/>
              </w:rPr>
              <w:t xml:space="preserve"> UE indicating 28-1 does not support features that are not intended for RedCap UEs, e.g. EN-DC, NR-DC, CA, etc</w:t>
            </w:r>
          </w:p>
        </w:tc>
        <w:tc>
          <w:tcPr>
            <w:tcW w:w="3595"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shd w:val="clear" w:color="auto" w:fill="FFFFFF"/>
              </w:rPr>
            </w:pPr>
            <w:r>
              <w:rPr>
                <w:rFonts w:eastAsia="Segoe UI" w:asciiTheme="minorHAnsi"/>
                <w:sz w:val="20"/>
                <w:szCs w:val="20"/>
                <w:shd w:val="clear" w:color="auto" w:fill="FFFFFF"/>
              </w:rPr>
              <w:t>A</w:t>
            </w:r>
            <w:r>
              <w:rPr>
                <w:rFonts w:asciiTheme="minorHAnsi"/>
                <w:sz w:val="20"/>
                <w:szCs w:val="20"/>
                <w:shd w:val="clear" w:color="auto" w:fill="FFFFFF"/>
              </w:rPr>
              <w:t xml:space="preserve"> RedCap</w:t>
            </w:r>
            <w:r>
              <w:rPr>
                <w:rFonts w:eastAsia="Segoe UI" w:asciiTheme="minorHAnsi"/>
                <w:sz w:val="20"/>
                <w:szCs w:val="20"/>
                <w:shd w:val="clear" w:color="auto" w:fill="FFFFFF"/>
              </w:rPr>
              <w:t xml:space="preserve"> UE indicating 28-1 on at least one band does not support features that are not intended for RedCap UEs, e.g. EN-DC, NR-DC, CA, etc</w:t>
            </w:r>
          </w:p>
          <w:p>
            <w:pPr>
              <w:pStyle w:val="26"/>
              <w:spacing w:before="0" w:beforeAutospacing="0" w:after="0" w:afterAutospacing="0" w:line="300" w:lineRule="atLeast"/>
              <w:rPr>
                <w:rFonts w:asciiTheme="minorHAnsi"/>
                <w:sz w:val="20"/>
                <w:szCs w:val="20"/>
                <w:shd w:val="clear" w:color="auto" w:fill="FFFFFF"/>
              </w:rPr>
            </w:pPr>
            <w:r>
              <w:rPr>
                <w:rFonts w:eastAsia="Segoe UI" w:asciiTheme="minorHAnsi"/>
                <w:sz w:val="20"/>
                <w:szCs w:val="20"/>
                <w:shd w:val="clear" w:color="auto" w:fill="FFFFFF"/>
              </w:rPr>
              <w:t>A</w:t>
            </w:r>
            <w:r>
              <w:rPr>
                <w:rFonts w:asciiTheme="minorHAnsi"/>
                <w:sz w:val="20"/>
                <w:szCs w:val="20"/>
                <w:shd w:val="clear" w:color="auto" w:fill="FFFFFF"/>
              </w:rPr>
              <w:t xml:space="preserve"> RedCap</w:t>
            </w:r>
            <w:r>
              <w:rPr>
                <w:rFonts w:eastAsia="Segoe UI" w:asciiTheme="minorHAnsi"/>
                <w:sz w:val="20"/>
                <w:szCs w:val="20"/>
                <w:shd w:val="clear" w:color="auto" w:fill="FFFFFF"/>
              </w:rPr>
              <w:t xml:space="preserve"> UE </w:t>
            </w:r>
            <w:r>
              <w:rPr>
                <w:rFonts w:asciiTheme="minorHAnsi"/>
                <w:sz w:val="20"/>
                <w:szCs w:val="20"/>
                <w:shd w:val="clear" w:color="auto" w:fill="FFFFFF"/>
              </w:rPr>
              <w:t xml:space="preserve">NOT </w:t>
            </w:r>
            <w:r>
              <w:rPr>
                <w:rFonts w:eastAsia="Segoe UI" w:asciiTheme="minorHAnsi"/>
                <w:sz w:val="20"/>
                <w:szCs w:val="20"/>
                <w:shd w:val="clear" w:color="auto" w:fill="FFFFFF"/>
              </w:rPr>
              <w:t>indicating 28-1</w:t>
            </w:r>
            <w:r>
              <w:rPr>
                <w:rFonts w:asciiTheme="minorHAnsi"/>
                <w:sz w:val="20"/>
                <w:szCs w:val="20"/>
                <w:shd w:val="clear" w:color="auto" w:fill="FFFFFF"/>
              </w:rPr>
              <w:t xml:space="preserve"> on</w:t>
            </w:r>
            <w:r>
              <w:rPr>
                <w:rFonts w:eastAsia="Segoe UI" w:asciiTheme="minorHAnsi"/>
                <w:sz w:val="20"/>
                <w:szCs w:val="20"/>
                <w:shd w:val="clear" w:color="auto" w:fill="FFFFFF"/>
              </w:rPr>
              <w:t xml:space="preserve"> at least one band does not support features that are intended for RedCap UEs, </w:t>
            </w:r>
            <w:r>
              <w:rPr>
                <w:rFonts w:asciiTheme="minorHAnsi"/>
                <w:sz w:val="20"/>
                <w:szCs w:val="20"/>
                <w:shd w:val="clear" w:color="auto" w:fill="FFFFFF"/>
              </w:rPr>
              <w:t>separate initial BWP, NCD-SSB configuration, etc.</w:t>
            </w:r>
          </w:p>
          <w:p>
            <w:pPr>
              <w:pStyle w:val="26"/>
              <w:spacing w:before="0" w:beforeAutospacing="0" w:after="0" w:afterAutospacing="0" w:line="300" w:lineRule="atLeast"/>
              <w:rPr>
                <w:rFonts w:eastAsia="Segoe UI" w:asciiTheme="minorHAnsi"/>
                <w:sz w:val="20"/>
                <w:szCs w:val="20"/>
                <w:shd w:val="clear" w:color="auto" w:fill="FFFFFF"/>
              </w:rPr>
            </w:pPr>
          </w:p>
        </w:tc>
      </w:tr>
      <w:tr>
        <w:tblPrEx>
          <w:tblCellMar>
            <w:top w:w="0" w:type="dxa"/>
            <w:left w:w="0" w:type="dxa"/>
            <w:bottom w:w="0" w:type="dxa"/>
            <w:right w:w="0" w:type="dxa"/>
          </w:tblCellMar>
        </w:tblPrEx>
        <w:tc>
          <w:tcPr>
            <w:tcW w:w="3193" w:type="dxa"/>
            <w:tcBorders>
              <w:top w:val="nil"/>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distinguish RedCap and non-RedCap UEs for other reasons, e.g., for applying different charging policies, different treatment in CN,</w:t>
            </w:r>
          </w:p>
        </w:tc>
        <w:tc>
          <w:tcPr>
            <w:tcW w:w="2783"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No issue</w:t>
            </w:r>
          </w:p>
        </w:tc>
        <w:tc>
          <w:tcPr>
            <w:tcW w:w="3595"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Can not address</w:t>
            </w:r>
          </w:p>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Out of RAN1 coverage</w:t>
            </w:r>
            <w:r>
              <w:rPr>
                <w:rFonts w:hint="eastAsia" w:eastAsia="Segoe UI" w:asciiTheme="minorHAnsi"/>
                <w:sz w:val="20"/>
                <w:szCs w:val="20"/>
              </w:rPr>
              <w:t xml:space="preserve"> and LS should be sent to SA2/CT1 to double check.</w:t>
            </w:r>
          </w:p>
        </w:tc>
      </w:tr>
      <w:tr>
        <w:tblPrEx>
          <w:tblCellMar>
            <w:top w:w="0" w:type="dxa"/>
            <w:left w:w="0" w:type="dxa"/>
            <w:bottom w:w="0" w:type="dxa"/>
            <w:right w:w="0" w:type="dxa"/>
          </w:tblCellMar>
        </w:tblPrEx>
        <w:tc>
          <w:tcPr>
            <w:tcW w:w="3193" w:type="dxa"/>
            <w:tcBorders>
              <w:top w:val="nil"/>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higher layer capabilities (e.g., support for 16 DRBs,18 bits-SN, and ANR functionality) that are optional for RedCap UEs but are mandatory for non-RedCap UEs</w:t>
            </w:r>
          </w:p>
        </w:tc>
        <w:tc>
          <w:tcPr>
            <w:tcW w:w="2783"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No issue</w:t>
            </w:r>
          </w:p>
        </w:tc>
        <w:tc>
          <w:tcPr>
            <w:tcW w:w="3595"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legacy gNB may not be able to serve such UEs</w:t>
            </w:r>
            <w:r>
              <w:rPr>
                <w:rFonts w:hint="eastAsia" w:eastAsia="Segoe UI" w:asciiTheme="minorHAnsi"/>
                <w:sz w:val="20"/>
                <w:szCs w:val="20"/>
              </w:rPr>
              <w:t xml:space="preserve"> if the UE is operating on the band larger than maximum UE bandwidth</w:t>
            </w:r>
          </w:p>
        </w:tc>
      </w:tr>
      <w:tr>
        <w:tblPrEx>
          <w:tblCellMar>
            <w:top w:w="0" w:type="dxa"/>
            <w:left w:w="0" w:type="dxa"/>
            <w:bottom w:w="0" w:type="dxa"/>
            <w:right w:w="0" w:type="dxa"/>
          </w:tblCellMar>
        </w:tblPrEx>
        <w:tc>
          <w:tcPr>
            <w:tcW w:w="3193" w:type="dxa"/>
            <w:tcBorders>
              <w:top w:val="nil"/>
              <w:left w:val="single" w:color="auto" w:sz="8" w:space="0"/>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support of mandatory/optional L1/L2 capabilities</w:t>
            </w:r>
          </w:p>
        </w:tc>
        <w:tc>
          <w:tcPr>
            <w:tcW w:w="2783"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Clear</w:t>
            </w:r>
          </w:p>
        </w:tc>
        <w:tc>
          <w:tcPr>
            <w:tcW w:w="3595" w:type="dxa"/>
            <w:tcBorders>
              <w:top w:val="nil"/>
              <w:left w:val="nil"/>
              <w:bottom w:val="single" w:color="auto" w:sz="8" w:space="0"/>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RedCap UE indicating support of a given band but not 28-1 on that band (thus regarded as non-RedCap on that band) shall support all the mandatory features for non-RedCap UEs and may support other optional features for non-RedCap UEs.</w:t>
            </w:r>
          </w:p>
          <w:p>
            <w:pPr>
              <w:pStyle w:val="26"/>
              <w:spacing w:before="0" w:beforeAutospacing="0" w:after="0" w:afterAutospacing="0" w:line="300" w:lineRule="atLeast"/>
              <w:rPr>
                <w:rFonts w:eastAsia="Segoe UI" w:asciiTheme="minorHAnsi"/>
                <w:sz w:val="20"/>
                <w:szCs w:val="20"/>
              </w:rPr>
            </w:pPr>
          </w:p>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Note: This RedCap UE can not support mandatory DL 256QAM/PDSCH MIMO layers same as legacy.</w:t>
            </w:r>
          </w:p>
          <w:p>
            <w:pPr>
              <w:pStyle w:val="26"/>
              <w:spacing w:before="0" w:beforeAutospacing="0" w:after="0" w:afterAutospacing="0" w:line="300" w:lineRule="atLeast"/>
              <w:rPr>
                <w:rFonts w:eastAsia="Segoe UI" w:asciiTheme="minorHAnsi"/>
                <w:sz w:val="20"/>
                <w:szCs w:val="20"/>
              </w:rPr>
            </w:pPr>
          </w:p>
        </w:tc>
      </w:tr>
      <w:tr>
        <w:tblPrEx>
          <w:tblCellMar>
            <w:top w:w="0" w:type="dxa"/>
            <w:left w:w="0" w:type="dxa"/>
            <w:bottom w:w="0" w:type="dxa"/>
            <w:right w:w="0" w:type="dxa"/>
          </w:tblCellMar>
        </w:tblPrEx>
        <w:tc>
          <w:tcPr>
            <w:tcW w:w="3193" w:type="dxa"/>
            <w:tcBorders>
              <w:top w:val="nil"/>
              <w:left w:val="single" w:color="auto" w:sz="8" w:space="0"/>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Early indication in msg1/msg3</w:t>
            </w:r>
          </w:p>
        </w:tc>
        <w:tc>
          <w:tcPr>
            <w:tcW w:w="2783" w:type="dxa"/>
            <w:tcBorders>
              <w:top w:val="nil"/>
              <w:left w:val="nil"/>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works</w:t>
            </w:r>
          </w:p>
        </w:tc>
        <w:tc>
          <w:tcPr>
            <w:tcW w:w="3595" w:type="dxa"/>
            <w:tcBorders>
              <w:top w:val="nil"/>
              <w:left w:val="nil"/>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 xml:space="preserve">If a RedCap UE is pretending as the non-RedCap UE, </w:t>
            </w:r>
            <w:r>
              <w:rPr>
                <w:rFonts w:hint="eastAsia" w:eastAsia="Segoe UI" w:asciiTheme="minorHAnsi"/>
                <w:sz w:val="20"/>
                <w:szCs w:val="20"/>
              </w:rPr>
              <w:t>then the allocated msg1 resources for the RedCap UEs would be wasted and the NW performance would be impacted.</w:t>
            </w:r>
          </w:p>
        </w:tc>
      </w:tr>
      <w:tr>
        <w:tblPrEx>
          <w:tblCellMar>
            <w:top w:w="0" w:type="dxa"/>
            <w:left w:w="0" w:type="dxa"/>
            <w:bottom w:w="0" w:type="dxa"/>
            <w:right w:w="0" w:type="dxa"/>
          </w:tblCellMar>
        </w:tblPrEx>
        <w:tc>
          <w:tcPr>
            <w:tcW w:w="3193" w:type="dxa"/>
            <w:tcBorders>
              <w:top w:val="nil"/>
              <w:left w:val="single" w:color="auto" w:sz="8" w:space="0"/>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HD-FDD support</w:t>
            </w:r>
          </w:p>
        </w:tc>
        <w:tc>
          <w:tcPr>
            <w:tcW w:w="2783" w:type="dxa"/>
            <w:tcBorders>
              <w:top w:val="nil"/>
              <w:left w:val="nil"/>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works</w:t>
            </w:r>
          </w:p>
        </w:tc>
        <w:tc>
          <w:tcPr>
            <w:tcW w:w="3595" w:type="dxa"/>
            <w:tcBorders>
              <w:top w:val="nil"/>
              <w:left w:val="nil"/>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eastAsia="Segoe UI" w:asciiTheme="minorHAnsi"/>
                <w:sz w:val="20"/>
                <w:szCs w:val="20"/>
              </w:rPr>
              <w:t>If a HD-FDD RedCap UE is pretending as the non-RedCap UE, then the collision handling does not exist, since non-RedCap UE does not support HD-FDD operation.</w:t>
            </w:r>
          </w:p>
        </w:tc>
      </w:tr>
      <w:tr>
        <w:tblPrEx>
          <w:tblCellMar>
            <w:top w:w="0" w:type="dxa"/>
            <w:left w:w="0" w:type="dxa"/>
            <w:bottom w:w="0" w:type="dxa"/>
            <w:right w:w="0" w:type="dxa"/>
          </w:tblCellMar>
        </w:tblPrEx>
        <w:tc>
          <w:tcPr>
            <w:tcW w:w="3193" w:type="dxa"/>
            <w:tcBorders>
              <w:top w:val="nil"/>
              <w:left w:val="single" w:color="auto" w:sz="8" w:space="0"/>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hint="eastAsia" w:eastAsia="Segoe UI" w:asciiTheme="minorHAnsi"/>
                <w:sz w:val="20"/>
                <w:szCs w:val="20"/>
              </w:rPr>
              <w:t>Whether align with the SID and WID</w:t>
            </w:r>
          </w:p>
        </w:tc>
        <w:tc>
          <w:tcPr>
            <w:tcW w:w="2783" w:type="dxa"/>
            <w:tcBorders>
              <w:top w:val="nil"/>
              <w:left w:val="nil"/>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hint="eastAsia" w:eastAsia="Segoe UI" w:asciiTheme="minorHAnsi"/>
                <w:sz w:val="20"/>
                <w:szCs w:val="20"/>
              </w:rPr>
              <w:t>Yes</w:t>
            </w:r>
          </w:p>
        </w:tc>
        <w:tc>
          <w:tcPr>
            <w:tcW w:w="3595" w:type="dxa"/>
            <w:tcBorders>
              <w:top w:val="nil"/>
              <w:left w:val="nil"/>
              <w:bottom w:val="nil"/>
              <w:right w:val="single" w:color="auto" w:sz="8" w:space="0"/>
            </w:tcBorders>
            <w:shd w:val="clear" w:color="auto" w:fill="FFFFFF"/>
            <w:tcMar>
              <w:left w:w="108" w:type="dxa"/>
              <w:right w:w="108" w:type="dxa"/>
            </w:tcMar>
          </w:tcPr>
          <w:p>
            <w:pPr>
              <w:pStyle w:val="26"/>
              <w:spacing w:before="0" w:beforeAutospacing="0" w:after="0" w:afterAutospacing="0" w:line="300" w:lineRule="atLeast"/>
              <w:rPr>
                <w:rFonts w:eastAsia="Segoe UI" w:asciiTheme="minorHAnsi"/>
                <w:sz w:val="20"/>
                <w:szCs w:val="20"/>
              </w:rPr>
            </w:pPr>
            <w:r>
              <w:rPr>
                <w:rFonts w:hint="eastAsia" w:eastAsia="Segoe UI" w:asciiTheme="minorHAnsi"/>
                <w:sz w:val="20"/>
                <w:szCs w:val="20"/>
              </w:rPr>
              <w:t>No. Per band RedCap UE need to act as the non-RedCap UE. No complexity is reduced in some bands.</w:t>
            </w:r>
          </w:p>
        </w:tc>
      </w:tr>
    </w:tbl>
    <w:p>
      <w:pPr>
        <w:rPr>
          <w:lang w:val="en-US" w:eastAsia="zh-CN"/>
        </w:rPr>
      </w:pPr>
    </w:p>
    <w:p>
      <w:pPr>
        <w:rPr>
          <w:rFonts w:eastAsia="宋体"/>
          <w:lang w:val="en-US" w:eastAsia="zh-CN"/>
        </w:rPr>
      </w:pPr>
      <w:r>
        <w:rPr>
          <w:rFonts w:hint="eastAsia" w:eastAsia="宋体"/>
          <w:lang w:val="en-US" w:eastAsia="zh-CN"/>
        </w:rPr>
        <w:t>Based on above table, we have the following observations:</w:t>
      </w:r>
    </w:p>
    <w:p>
      <w:pPr>
        <w:rPr>
          <w:rFonts w:eastAsia="宋体"/>
          <w:b/>
          <w:bCs/>
          <w:i/>
          <w:iCs/>
          <w:lang w:val="en-US" w:eastAsia="zh-CN"/>
        </w:rPr>
      </w:pPr>
      <w:r>
        <w:rPr>
          <w:rFonts w:hint="eastAsia" w:eastAsia="宋体"/>
          <w:b/>
          <w:bCs/>
          <w:i/>
          <w:iCs/>
          <w:lang w:val="en-US" w:eastAsia="zh-CN"/>
        </w:rPr>
        <w:t>Observation 4: Strictly speaking, a RedCap UE always cannot be equal to the non-RedCap UE, since the mandatory feature set for non-RedCap UE is not equal to RedCap UE, e.g., DL 256QAM and PDSCH MIMO layer,</w:t>
      </w:r>
    </w:p>
    <w:p>
      <w:pPr>
        <w:rPr>
          <w:rFonts w:eastAsia="宋体"/>
          <w:b/>
          <w:bCs/>
          <w:i/>
          <w:iCs/>
          <w:lang w:val="en-US" w:eastAsia="zh-CN"/>
        </w:rPr>
      </w:pPr>
      <w:r>
        <w:rPr>
          <w:rFonts w:hint="eastAsia" w:eastAsia="宋体"/>
          <w:b/>
          <w:bCs/>
          <w:i/>
          <w:iCs/>
          <w:lang w:val="en-US" w:eastAsia="zh-CN"/>
        </w:rPr>
        <w:t>Observation 5: A HD-FDD RedCap UE who is pretending as the non-RedCap UE cannot work since collision handling rule for HD-FDD is not supported for non-RedCap UE.</w:t>
      </w:r>
    </w:p>
    <w:p>
      <w:pPr>
        <w:rPr>
          <w:rFonts w:eastAsia="宋体"/>
          <w:lang w:val="en-US" w:eastAsia="zh-CN"/>
        </w:rPr>
      </w:pPr>
      <w:r>
        <w:rPr>
          <w:rFonts w:hint="eastAsia" w:eastAsia="宋体"/>
          <w:lang w:val="en-US" w:eastAsia="zh-CN"/>
        </w:rPr>
        <w:t xml:space="preserve">Additionally, according to the evaluation in SI stage, the cost reduction for RedCap UE is implicitly based on </w:t>
      </w:r>
      <w:r>
        <w:rPr>
          <w:rFonts w:eastAsia="宋体"/>
          <w:lang w:val="en-US" w:eastAsia="zh-CN"/>
        </w:rPr>
        <w:t>‘</w:t>
      </w:r>
      <w:r>
        <w:rPr>
          <w:rFonts w:hint="eastAsia" w:eastAsia="宋体"/>
          <w:lang w:val="en-US" w:eastAsia="zh-CN"/>
        </w:rPr>
        <w:t>per UE</w:t>
      </w:r>
      <w:r>
        <w:rPr>
          <w:rFonts w:eastAsia="宋体"/>
          <w:lang w:val="en-US" w:eastAsia="zh-CN"/>
        </w:rPr>
        <w:t>’</w:t>
      </w:r>
      <w:r>
        <w:rPr>
          <w:rFonts w:hint="eastAsia" w:eastAsia="宋体"/>
          <w:lang w:val="en-US" w:eastAsia="zh-CN"/>
        </w:rPr>
        <w:t xml:space="preserve">. If the RedCap UE report as per band and can act as the non-RedCap UE, then the cost/complexity reduction should be based on each band. Also according to the WI description, </w:t>
      </w:r>
      <w:r>
        <w:rPr>
          <w:rFonts w:eastAsia="宋体"/>
          <w:lang w:val="en-US" w:eastAsia="zh-CN"/>
        </w:rPr>
        <w:t>“</w:t>
      </w:r>
      <w:r>
        <w:rPr>
          <w:rFonts w:eastAsia="宋体"/>
          <w:lang w:eastAsia="ja-JP"/>
        </w:rPr>
        <w:t>System should support all FR1/FR2 bands for FDD and TDD</w:t>
      </w:r>
      <w:r>
        <w:rPr>
          <w:rFonts w:eastAsia="宋体"/>
          <w:lang w:val="en-US" w:eastAsia="zh-CN"/>
        </w:rPr>
        <w:t>”</w:t>
      </w:r>
      <w:r>
        <w:rPr>
          <w:rFonts w:hint="eastAsia" w:eastAsia="宋体"/>
          <w:lang w:val="en-US" w:eastAsia="zh-CN"/>
        </w:rPr>
        <w:t>, obviously, it is not aligned with that a RedCap UE only operate in some bands</w:t>
      </w:r>
      <w:r>
        <w:rPr>
          <w:rFonts w:eastAsia="宋体"/>
          <w:lang w:eastAsia="ja-JP"/>
        </w:rPr>
        <w:t>.</w:t>
      </w:r>
      <w:r>
        <w:rPr>
          <w:rFonts w:hint="eastAsia" w:eastAsia="宋体"/>
          <w:lang w:val="en-US" w:eastAsia="zh-CN"/>
        </w:rPr>
        <w:t xml:space="preserve"> Moreover, for those per band UE pretending as the non-RedCap UE, the complexity/cost is pretty higher than the per</w:t>
      </w:r>
      <w:r>
        <w:rPr>
          <w:rFonts w:eastAsia="宋体"/>
          <w:lang w:val="en-US" w:eastAsia="zh-CN"/>
        </w:rPr>
        <w:t>-</w:t>
      </w:r>
      <w:r>
        <w:rPr>
          <w:rFonts w:hint="eastAsia" w:eastAsia="宋体"/>
          <w:lang w:val="en-US" w:eastAsia="zh-CN"/>
        </w:rPr>
        <w:t xml:space="preserve">UE </w:t>
      </w:r>
      <w:r>
        <w:rPr>
          <w:rFonts w:eastAsia="宋体"/>
          <w:lang w:val="en-US" w:eastAsia="zh-CN"/>
        </w:rPr>
        <w:t>based approach</w:t>
      </w:r>
      <w:r>
        <w:rPr>
          <w:rFonts w:hint="eastAsia" w:eastAsia="宋体"/>
          <w:lang w:val="en-US" w:eastAsia="zh-CN"/>
        </w:rPr>
        <w:t xml:space="preserve">, since both NR protocol and redcap protocol need to be supported. </w:t>
      </w:r>
    </w:p>
    <w:p>
      <w:pPr>
        <w:rPr>
          <w:rFonts w:eastAsia="宋体"/>
          <w:b/>
          <w:bCs/>
          <w:i/>
          <w:iCs/>
          <w:lang w:val="en-US" w:eastAsia="zh-CN"/>
        </w:rPr>
      </w:pPr>
      <w:r>
        <w:rPr>
          <w:rFonts w:hint="eastAsia" w:eastAsia="宋体"/>
          <w:b/>
          <w:bCs/>
          <w:i/>
          <w:iCs/>
          <w:lang w:val="en-US" w:eastAsia="zh-CN"/>
        </w:rPr>
        <w:t xml:space="preserve">Observation 6: per band RedCap UE is not aligned with the SI evaluation and WID description. </w:t>
      </w:r>
    </w:p>
    <w:p>
      <w:pPr>
        <w:rPr>
          <w:rFonts w:eastAsia="宋体"/>
          <w:lang w:val="en-US" w:eastAsia="zh-CN"/>
        </w:rPr>
      </w:pPr>
      <w:r>
        <w:rPr>
          <w:rFonts w:hint="eastAsia" w:eastAsia="宋体"/>
          <w:b/>
          <w:bCs/>
          <w:i/>
          <w:iCs/>
          <w:lang w:val="en-US" w:eastAsia="zh-CN"/>
        </w:rPr>
        <w:t xml:space="preserve">Observation 7: Complexity/cost of </w:t>
      </w:r>
      <w:r>
        <w:rPr>
          <w:rFonts w:eastAsia="宋体"/>
          <w:b/>
          <w:bCs/>
          <w:i/>
          <w:iCs/>
          <w:lang w:val="en-US" w:eastAsia="zh-CN"/>
        </w:rPr>
        <w:t>‘</w:t>
      </w:r>
      <w:r>
        <w:rPr>
          <w:rFonts w:hint="eastAsia" w:eastAsia="宋体"/>
          <w:b/>
          <w:bCs/>
          <w:i/>
          <w:iCs/>
          <w:lang w:val="en-US" w:eastAsia="zh-CN"/>
        </w:rPr>
        <w:t>per band</w:t>
      </w:r>
      <w:r>
        <w:rPr>
          <w:rFonts w:eastAsia="宋体"/>
          <w:b/>
          <w:bCs/>
          <w:i/>
          <w:iCs/>
          <w:lang w:val="en-US" w:eastAsia="zh-CN"/>
        </w:rPr>
        <w:t>’</w:t>
      </w:r>
      <w:r>
        <w:rPr>
          <w:rFonts w:hint="eastAsia" w:eastAsia="宋体"/>
          <w:b/>
          <w:bCs/>
          <w:i/>
          <w:iCs/>
          <w:lang w:val="en-US" w:eastAsia="zh-CN"/>
        </w:rPr>
        <w:t xml:space="preserve"> RedCap UE would be pretty higher than </w:t>
      </w:r>
      <w:r>
        <w:rPr>
          <w:rFonts w:eastAsia="宋体"/>
          <w:b/>
          <w:bCs/>
          <w:i/>
          <w:iCs/>
          <w:lang w:val="en-US" w:eastAsia="zh-CN"/>
        </w:rPr>
        <w:t>‘</w:t>
      </w:r>
      <w:r>
        <w:rPr>
          <w:rFonts w:hint="eastAsia" w:eastAsia="宋体"/>
          <w:b/>
          <w:bCs/>
          <w:i/>
          <w:iCs/>
          <w:lang w:val="en-US" w:eastAsia="zh-CN"/>
        </w:rPr>
        <w:t>Per UE</w:t>
      </w:r>
      <w:r>
        <w:rPr>
          <w:rFonts w:eastAsia="宋体"/>
          <w:b/>
          <w:bCs/>
          <w:i/>
          <w:iCs/>
          <w:lang w:val="en-US" w:eastAsia="zh-CN"/>
        </w:rPr>
        <w:t>’</w:t>
      </w:r>
      <w:r>
        <w:rPr>
          <w:rFonts w:hint="eastAsia" w:eastAsia="宋体"/>
          <w:b/>
          <w:bCs/>
          <w:i/>
          <w:iCs/>
          <w:lang w:val="en-US" w:eastAsia="zh-CN"/>
        </w:rPr>
        <w:t xml:space="preserve"> RedCap UE</w:t>
      </w:r>
    </w:p>
    <w:p>
      <w:pPr>
        <w:rPr>
          <w:rFonts w:eastAsia="宋体"/>
          <w:b/>
          <w:bCs/>
          <w:i/>
          <w:iCs/>
          <w:lang w:val="en-US" w:eastAsia="zh-CN"/>
        </w:rPr>
      </w:pPr>
      <w:r>
        <w:rPr>
          <w:rFonts w:hint="eastAsia" w:eastAsia="宋体"/>
          <w:b/>
          <w:bCs/>
          <w:i/>
          <w:iCs/>
          <w:lang w:val="en-US" w:eastAsia="zh-CN"/>
        </w:rPr>
        <w:t>Proposal 2: RedCap UE feature FG28-1 should be reported per UE.</w:t>
      </w:r>
    </w:p>
    <w:p>
      <w:pPr>
        <w:rPr>
          <w:rFonts w:eastAsia="宋体"/>
          <w:lang w:val="en-US" w:eastAsia="zh-CN"/>
        </w:rPr>
      </w:pP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rPr>
          <w:lang w:val="en-US" w:eastAsia="zh-CN"/>
        </w:rPr>
      </w:pPr>
      <w:r>
        <w:rPr>
          <w:rFonts w:hint="eastAsia" w:eastAsia="宋体"/>
          <w:b/>
          <w:bCs/>
          <w:i/>
          <w:iCs/>
          <w:lang w:val="en-US" w:eastAsia="zh-CN"/>
        </w:rPr>
        <w:t xml:space="preserve">Observation 1: If no consensus for RAN1 remaining issues is achieved, current agreement or legacy behavior can be followed. </w:t>
      </w:r>
    </w:p>
    <w:p>
      <w:pPr>
        <w:rPr>
          <w:rFonts w:eastAsia="宋体"/>
          <w:b/>
          <w:bCs/>
          <w:i/>
          <w:iCs/>
          <w:lang w:val="en-US" w:eastAsia="zh-CN"/>
        </w:rPr>
      </w:pPr>
      <w:r>
        <w:rPr>
          <w:rFonts w:hint="eastAsia" w:eastAsia="宋体"/>
          <w:b/>
          <w:bCs/>
          <w:i/>
          <w:iCs/>
          <w:lang w:val="en-US" w:eastAsia="zh-CN"/>
        </w:rPr>
        <w:t xml:space="preserve">Observation 2: RAN4 </w:t>
      </w:r>
      <w:r>
        <w:rPr>
          <w:rFonts w:eastAsia="宋体"/>
          <w:b/>
          <w:bCs/>
          <w:i/>
          <w:iCs/>
          <w:lang w:val="en-US" w:eastAsia="zh-CN"/>
        </w:rPr>
        <w:t xml:space="preserve">performance part </w:t>
      </w:r>
      <w:r>
        <w:rPr>
          <w:rFonts w:hint="eastAsia" w:eastAsia="宋体"/>
          <w:b/>
          <w:bCs/>
          <w:i/>
          <w:iCs/>
          <w:lang w:val="en-US" w:eastAsia="zh-CN"/>
        </w:rPr>
        <w:t>still has half year and the necessity to decide the timeline extension is not foreseen currently.</w:t>
      </w:r>
    </w:p>
    <w:p>
      <w:pPr>
        <w:rPr>
          <w:rFonts w:hint="eastAsia" w:eastAsia="宋体"/>
          <w:b/>
          <w:bCs/>
          <w:i/>
          <w:iCs/>
          <w:lang w:val="en-US" w:eastAsia="zh-CN"/>
        </w:rPr>
      </w:pPr>
      <w:r>
        <w:rPr>
          <w:rFonts w:hint="eastAsia" w:eastAsia="宋体"/>
          <w:b/>
          <w:bCs/>
          <w:i/>
          <w:iCs/>
          <w:lang w:val="en-US" w:eastAsia="zh-CN"/>
        </w:rPr>
        <w:t>Observation 3:Rel-17 extension requires occupying Rel-18 discussion TUs</w:t>
      </w:r>
    </w:p>
    <w:p>
      <w:pPr>
        <w:rPr>
          <w:rFonts w:eastAsia="宋体"/>
          <w:b/>
          <w:bCs/>
          <w:i/>
          <w:iCs/>
          <w:lang w:val="en-US" w:eastAsia="zh-CN"/>
        </w:rPr>
      </w:pPr>
      <w:r>
        <w:rPr>
          <w:rFonts w:hint="eastAsia" w:eastAsia="宋体"/>
          <w:b/>
          <w:bCs/>
          <w:i/>
          <w:iCs/>
          <w:lang w:val="en-US" w:eastAsia="zh-CN"/>
        </w:rPr>
        <w:t>Observation 4: Strictly speaking, a RedCap UE always cannot be equal to the non-RedCap UE, since the mandatory feature set for non-RedCap UE is not eq</w:t>
      </w:r>
      <w:bookmarkStart w:id="5" w:name="_GoBack"/>
      <w:bookmarkEnd w:id="5"/>
      <w:r>
        <w:rPr>
          <w:rFonts w:hint="eastAsia" w:eastAsia="宋体"/>
          <w:b/>
          <w:bCs/>
          <w:i/>
          <w:iCs/>
          <w:lang w:val="en-US" w:eastAsia="zh-CN"/>
        </w:rPr>
        <w:t>ual to RedCap UE, e.g., DL 256QAM and PDSCH MIMO layer,</w:t>
      </w:r>
    </w:p>
    <w:p>
      <w:pPr>
        <w:rPr>
          <w:rFonts w:eastAsia="宋体"/>
          <w:b/>
          <w:bCs/>
          <w:i/>
          <w:iCs/>
          <w:lang w:val="en-US" w:eastAsia="zh-CN"/>
        </w:rPr>
      </w:pPr>
      <w:r>
        <w:rPr>
          <w:rFonts w:hint="eastAsia" w:eastAsia="宋体"/>
          <w:b/>
          <w:bCs/>
          <w:i/>
          <w:iCs/>
          <w:lang w:val="en-US" w:eastAsia="zh-CN"/>
        </w:rPr>
        <w:t>Observation 5: A HD-FDD RedCap UE who is pretending as the non-RedCap UE cannot work since collision handling rule for HD-FDD is not supported for non-RedCap UE.</w:t>
      </w:r>
    </w:p>
    <w:p>
      <w:pPr>
        <w:rPr>
          <w:rFonts w:eastAsia="宋体"/>
          <w:b/>
          <w:bCs/>
          <w:i/>
          <w:iCs/>
          <w:lang w:val="en-US" w:eastAsia="zh-CN"/>
        </w:rPr>
      </w:pPr>
      <w:r>
        <w:rPr>
          <w:rFonts w:hint="eastAsia" w:eastAsia="宋体"/>
          <w:b/>
          <w:bCs/>
          <w:i/>
          <w:iCs/>
          <w:lang w:val="en-US" w:eastAsia="zh-CN"/>
        </w:rPr>
        <w:t xml:space="preserve">Observation 6: per band RedCap UE is not aligned with the SI evaluation and WID description. </w:t>
      </w:r>
    </w:p>
    <w:p>
      <w:pPr>
        <w:rPr>
          <w:rFonts w:eastAsia="宋体"/>
          <w:lang w:val="en-US" w:eastAsia="zh-CN"/>
        </w:rPr>
      </w:pPr>
      <w:r>
        <w:rPr>
          <w:rFonts w:hint="eastAsia" w:eastAsia="宋体"/>
          <w:b/>
          <w:bCs/>
          <w:i/>
          <w:iCs/>
          <w:lang w:val="en-US" w:eastAsia="zh-CN"/>
        </w:rPr>
        <w:t xml:space="preserve">Observation 7: Complexity/cost of </w:t>
      </w:r>
      <w:r>
        <w:rPr>
          <w:rFonts w:eastAsia="宋体"/>
          <w:b/>
          <w:bCs/>
          <w:i/>
          <w:iCs/>
          <w:lang w:val="en-US" w:eastAsia="zh-CN"/>
        </w:rPr>
        <w:t>‘</w:t>
      </w:r>
      <w:r>
        <w:rPr>
          <w:rFonts w:hint="eastAsia" w:eastAsia="宋体"/>
          <w:b/>
          <w:bCs/>
          <w:i/>
          <w:iCs/>
          <w:lang w:val="en-US" w:eastAsia="zh-CN"/>
        </w:rPr>
        <w:t>per band</w:t>
      </w:r>
      <w:r>
        <w:rPr>
          <w:rFonts w:eastAsia="宋体"/>
          <w:b/>
          <w:bCs/>
          <w:i/>
          <w:iCs/>
          <w:lang w:val="en-US" w:eastAsia="zh-CN"/>
        </w:rPr>
        <w:t>’</w:t>
      </w:r>
      <w:r>
        <w:rPr>
          <w:rFonts w:hint="eastAsia" w:eastAsia="宋体"/>
          <w:b/>
          <w:bCs/>
          <w:i/>
          <w:iCs/>
          <w:lang w:val="en-US" w:eastAsia="zh-CN"/>
        </w:rPr>
        <w:t xml:space="preserve"> RedCap UE would be pretty higher than </w:t>
      </w:r>
      <w:r>
        <w:rPr>
          <w:rFonts w:eastAsia="宋体"/>
          <w:b/>
          <w:bCs/>
          <w:i/>
          <w:iCs/>
          <w:lang w:val="en-US" w:eastAsia="zh-CN"/>
        </w:rPr>
        <w:t>‘</w:t>
      </w:r>
      <w:r>
        <w:rPr>
          <w:rFonts w:hint="eastAsia" w:eastAsia="宋体"/>
          <w:b/>
          <w:bCs/>
          <w:i/>
          <w:iCs/>
          <w:lang w:val="en-US" w:eastAsia="zh-CN"/>
        </w:rPr>
        <w:t>Per UE</w:t>
      </w:r>
      <w:r>
        <w:rPr>
          <w:rFonts w:eastAsia="宋体"/>
          <w:b/>
          <w:bCs/>
          <w:i/>
          <w:iCs/>
          <w:lang w:val="en-US" w:eastAsia="zh-CN"/>
        </w:rPr>
        <w:t>’</w:t>
      </w:r>
      <w:r>
        <w:rPr>
          <w:rFonts w:hint="eastAsia" w:eastAsia="宋体"/>
          <w:b/>
          <w:bCs/>
          <w:i/>
          <w:iCs/>
          <w:lang w:val="en-US" w:eastAsia="zh-CN"/>
        </w:rPr>
        <w:t xml:space="preserve"> RedCap UE</w:t>
      </w:r>
    </w:p>
    <w:p>
      <w:pPr>
        <w:rPr>
          <w:rFonts w:hint="eastAsia" w:eastAsia="宋体"/>
          <w:b/>
          <w:bCs/>
          <w:i/>
          <w:iCs/>
          <w:lang w:val="en-US" w:eastAsia="zh-CN"/>
        </w:rPr>
      </w:pPr>
    </w:p>
    <w:p>
      <w:pPr>
        <w:rPr>
          <w:rFonts w:eastAsia="宋体"/>
          <w:b/>
          <w:bCs/>
          <w:i/>
          <w:iCs/>
          <w:lang w:val="en-US" w:eastAsia="zh-CN"/>
        </w:rPr>
      </w:pPr>
      <w:r>
        <w:rPr>
          <w:rFonts w:hint="eastAsia" w:eastAsia="宋体"/>
          <w:b/>
          <w:bCs/>
          <w:i/>
          <w:iCs/>
          <w:lang w:val="en-US" w:eastAsia="zh-CN"/>
        </w:rPr>
        <w:t>Proposal 1: RAN1 remaining issues can be further discussed in maintenance phase</w:t>
      </w:r>
    </w:p>
    <w:p>
      <w:pPr>
        <w:numPr>
          <w:ilvl w:val="0"/>
          <w:numId w:val="9"/>
        </w:numPr>
        <w:rPr>
          <w:rFonts w:eastAsia="宋体"/>
          <w:b/>
          <w:bCs/>
          <w:i/>
          <w:iCs/>
          <w:lang w:val="en-US" w:eastAsia="zh-CN"/>
        </w:rPr>
      </w:pPr>
      <w:r>
        <w:rPr>
          <w:rFonts w:hint="eastAsia" w:eastAsia="宋体"/>
          <w:b/>
          <w:bCs/>
          <w:i/>
          <w:iCs/>
          <w:lang w:val="en-US" w:eastAsia="zh-CN"/>
        </w:rPr>
        <w:t>Overall Completion level for the Core part is 100%</w:t>
      </w:r>
    </w:p>
    <w:p>
      <w:pPr>
        <w:rPr>
          <w:rFonts w:eastAsia="宋体"/>
          <w:b/>
          <w:bCs/>
          <w:i/>
          <w:iCs/>
          <w:lang w:val="en-US" w:eastAsia="zh-CN"/>
        </w:rPr>
      </w:pPr>
      <w:r>
        <w:rPr>
          <w:rFonts w:hint="eastAsia" w:eastAsia="宋体"/>
          <w:b/>
          <w:bCs/>
          <w:i/>
          <w:iCs/>
          <w:lang w:val="en-US" w:eastAsia="zh-CN"/>
        </w:rPr>
        <w:t>Proposal 2: RedCap UE feature FG28-1 should be reported per UE.</w:t>
      </w:r>
    </w:p>
    <w:p>
      <w:pPr>
        <w:pStyle w:val="2"/>
        <w:spacing w:before="180"/>
      </w:pPr>
      <w:r>
        <w:rPr>
          <w:rFonts w:hint="eastAsia"/>
        </w:rPr>
        <w:t>R</w:t>
      </w:r>
      <w:r>
        <w:t>eference</w:t>
      </w:r>
    </w:p>
    <w:p>
      <w:pPr>
        <w:pStyle w:val="109"/>
        <w:numPr>
          <w:ilvl w:val="0"/>
          <w:numId w:val="0"/>
        </w:numPr>
        <w:rPr>
          <w:szCs w:val="15"/>
          <w:lang w:eastAsia="zh-CN"/>
        </w:rPr>
      </w:pPr>
      <w:r>
        <w:rPr>
          <w:rFonts w:hint="eastAsia"/>
          <w:szCs w:val="15"/>
          <w:lang w:eastAsia="zh-CN"/>
        </w:rPr>
        <w:t xml:space="preserve">[1]  3GPP </w:t>
      </w:r>
      <w:r>
        <w:rPr>
          <w:rFonts w:hint="eastAsia"/>
          <w:lang w:eastAsia="zh-CN"/>
        </w:rPr>
        <w:t>RP-220135</w:t>
      </w:r>
      <w:r>
        <w:rPr>
          <w:rFonts w:hint="eastAsia"/>
          <w:szCs w:val="15"/>
          <w:lang w:eastAsia="zh-CN"/>
        </w:rPr>
        <w:t>, Status Report to TSG, Ericsson</w:t>
      </w:r>
    </w:p>
    <w:p>
      <w:pPr>
        <w:pStyle w:val="109"/>
        <w:numPr>
          <w:ilvl w:val="0"/>
          <w:numId w:val="0"/>
        </w:numPr>
        <w:rPr>
          <w:szCs w:val="15"/>
          <w:lang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795793"/>
    <w:multiLevelType w:val="singleLevel"/>
    <w:tmpl w:val="BA795793"/>
    <w:lvl w:ilvl="0" w:tentative="0">
      <w:start w:val="1"/>
      <w:numFmt w:val="bullet"/>
      <w:lvlText w:val=""/>
      <w:lvlJc w:val="left"/>
      <w:pPr>
        <w:ind w:left="420" w:hanging="420"/>
      </w:pPr>
      <w:rPr>
        <w:rFonts w:hint="default" w:ascii="Symbol" w:hAnsi="Symbol" w:cs="Symbol"/>
      </w:rPr>
    </w:lvl>
  </w:abstractNum>
  <w:abstractNum w:abstractNumId="1">
    <w:nsid w:val="1A6F40E1"/>
    <w:multiLevelType w:val="multilevel"/>
    <w:tmpl w:val="1A6F40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AD867BB"/>
    <w:multiLevelType w:val="multilevel"/>
    <w:tmpl w:val="2AD867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4">
    <w:nsid w:val="40524957"/>
    <w:multiLevelType w:val="multilevel"/>
    <w:tmpl w:val="405249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732EB3"/>
    <w:multiLevelType w:val="multilevel"/>
    <w:tmpl w:val="4B732E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60B3E01"/>
    <w:multiLevelType w:val="multilevel"/>
    <w:tmpl w:val="560B3E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68539A7B"/>
    <w:multiLevelType w:val="multilevel"/>
    <w:tmpl w:val="68539A7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7"/>
  </w:num>
  <w:num w:numId="2">
    <w:abstractNumId w:val="3"/>
  </w:num>
  <w:num w:numId="3">
    <w:abstractNumId w:val="2"/>
  </w:num>
  <w:num w:numId="4">
    <w:abstractNumId w:val="6"/>
  </w:num>
  <w:num w:numId="5">
    <w:abstractNumId w:val="5"/>
  </w:num>
  <w:num w:numId="6">
    <w:abstractNumId w:val="8"/>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trackRevisions w:val="1"/>
  <w:documentProtection w:enforcement="0"/>
  <w:defaultTabStop w:val="7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BD20E5"/>
    <w:rsid w:val="01E376C5"/>
    <w:rsid w:val="01F93655"/>
    <w:rsid w:val="01FA3D41"/>
    <w:rsid w:val="02161019"/>
    <w:rsid w:val="022D0BA2"/>
    <w:rsid w:val="024273C3"/>
    <w:rsid w:val="02436CDB"/>
    <w:rsid w:val="024D495E"/>
    <w:rsid w:val="02856B9B"/>
    <w:rsid w:val="029721D9"/>
    <w:rsid w:val="02AE2102"/>
    <w:rsid w:val="02EB1A31"/>
    <w:rsid w:val="0306050F"/>
    <w:rsid w:val="031E13A5"/>
    <w:rsid w:val="036163F0"/>
    <w:rsid w:val="036907A0"/>
    <w:rsid w:val="036C2DED"/>
    <w:rsid w:val="038C5EE3"/>
    <w:rsid w:val="039A02C2"/>
    <w:rsid w:val="03A53A11"/>
    <w:rsid w:val="03B1471C"/>
    <w:rsid w:val="03BE6896"/>
    <w:rsid w:val="04291D8C"/>
    <w:rsid w:val="04447C19"/>
    <w:rsid w:val="044A1153"/>
    <w:rsid w:val="0469222B"/>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E34651"/>
    <w:rsid w:val="07F22080"/>
    <w:rsid w:val="07F351B9"/>
    <w:rsid w:val="080F737D"/>
    <w:rsid w:val="081B42A5"/>
    <w:rsid w:val="08436133"/>
    <w:rsid w:val="086B53B3"/>
    <w:rsid w:val="087D02A0"/>
    <w:rsid w:val="08846D12"/>
    <w:rsid w:val="08875633"/>
    <w:rsid w:val="089B1C19"/>
    <w:rsid w:val="08CD1299"/>
    <w:rsid w:val="08DB58AC"/>
    <w:rsid w:val="08ED06CF"/>
    <w:rsid w:val="08F927C9"/>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3F7D19"/>
    <w:rsid w:val="0E883D5F"/>
    <w:rsid w:val="0E8C5CCB"/>
    <w:rsid w:val="0E8D7FB3"/>
    <w:rsid w:val="0E99334B"/>
    <w:rsid w:val="0EAB1277"/>
    <w:rsid w:val="0EDA417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8561D6"/>
    <w:rsid w:val="109D594B"/>
    <w:rsid w:val="10B14313"/>
    <w:rsid w:val="10B776CF"/>
    <w:rsid w:val="10B77A85"/>
    <w:rsid w:val="10DB0B79"/>
    <w:rsid w:val="10E15320"/>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571A3"/>
    <w:rsid w:val="11D972EE"/>
    <w:rsid w:val="11EA624F"/>
    <w:rsid w:val="11F77A33"/>
    <w:rsid w:val="120210D6"/>
    <w:rsid w:val="12085C20"/>
    <w:rsid w:val="121A3C03"/>
    <w:rsid w:val="123922F2"/>
    <w:rsid w:val="1258559A"/>
    <w:rsid w:val="12625E3E"/>
    <w:rsid w:val="126803A3"/>
    <w:rsid w:val="129212FC"/>
    <w:rsid w:val="1296378D"/>
    <w:rsid w:val="12AD6F6E"/>
    <w:rsid w:val="12DB7BF6"/>
    <w:rsid w:val="12E339D7"/>
    <w:rsid w:val="12E9532A"/>
    <w:rsid w:val="12F40920"/>
    <w:rsid w:val="133F7045"/>
    <w:rsid w:val="1347637A"/>
    <w:rsid w:val="13580386"/>
    <w:rsid w:val="13626F7B"/>
    <w:rsid w:val="136D0DE7"/>
    <w:rsid w:val="13701100"/>
    <w:rsid w:val="137C5099"/>
    <w:rsid w:val="138C44BA"/>
    <w:rsid w:val="13A4433A"/>
    <w:rsid w:val="13C35F71"/>
    <w:rsid w:val="13C45EEB"/>
    <w:rsid w:val="13D8065C"/>
    <w:rsid w:val="13FD3D88"/>
    <w:rsid w:val="14085527"/>
    <w:rsid w:val="142A7D52"/>
    <w:rsid w:val="1460351E"/>
    <w:rsid w:val="146F1C00"/>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1F325E"/>
    <w:rsid w:val="1644295A"/>
    <w:rsid w:val="165122A1"/>
    <w:rsid w:val="16522CD9"/>
    <w:rsid w:val="165F5C50"/>
    <w:rsid w:val="16713D71"/>
    <w:rsid w:val="168D087B"/>
    <w:rsid w:val="169C6411"/>
    <w:rsid w:val="16C63BEF"/>
    <w:rsid w:val="16EB3239"/>
    <w:rsid w:val="170C14B3"/>
    <w:rsid w:val="17167425"/>
    <w:rsid w:val="173340D8"/>
    <w:rsid w:val="173E0E43"/>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CC1B36"/>
    <w:rsid w:val="18FC35ED"/>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46908"/>
    <w:rsid w:val="1B282B30"/>
    <w:rsid w:val="1B285967"/>
    <w:rsid w:val="1B2975FC"/>
    <w:rsid w:val="1B3A5C11"/>
    <w:rsid w:val="1B415D8B"/>
    <w:rsid w:val="1B4A3A42"/>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674FC"/>
    <w:rsid w:val="1D590D93"/>
    <w:rsid w:val="1D6B15F2"/>
    <w:rsid w:val="1D6D1D09"/>
    <w:rsid w:val="1D6D3B96"/>
    <w:rsid w:val="1D832664"/>
    <w:rsid w:val="1DAE3C2D"/>
    <w:rsid w:val="1DCA2E25"/>
    <w:rsid w:val="1DDD1265"/>
    <w:rsid w:val="1E050206"/>
    <w:rsid w:val="1E446F7D"/>
    <w:rsid w:val="1E526FD4"/>
    <w:rsid w:val="1E5B1F68"/>
    <w:rsid w:val="1E6F59DA"/>
    <w:rsid w:val="1E85023D"/>
    <w:rsid w:val="1E8E446E"/>
    <w:rsid w:val="1E9F2387"/>
    <w:rsid w:val="1EA36749"/>
    <w:rsid w:val="1EA73F4E"/>
    <w:rsid w:val="1EB62F37"/>
    <w:rsid w:val="1EC126ED"/>
    <w:rsid w:val="1EDE3E4D"/>
    <w:rsid w:val="1F08316A"/>
    <w:rsid w:val="1F226585"/>
    <w:rsid w:val="1F334F71"/>
    <w:rsid w:val="1F354DB1"/>
    <w:rsid w:val="1F426671"/>
    <w:rsid w:val="1F4A41E7"/>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523138B"/>
    <w:rsid w:val="252D27AC"/>
    <w:rsid w:val="253568E8"/>
    <w:rsid w:val="2539268F"/>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6E1D28"/>
    <w:rsid w:val="2A931A2E"/>
    <w:rsid w:val="2ABB0892"/>
    <w:rsid w:val="2ADA009F"/>
    <w:rsid w:val="2AEB310F"/>
    <w:rsid w:val="2AF90901"/>
    <w:rsid w:val="2B0428DA"/>
    <w:rsid w:val="2B425909"/>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423AD"/>
    <w:rsid w:val="2D7B1D4A"/>
    <w:rsid w:val="2D7F22A7"/>
    <w:rsid w:val="2D9109BF"/>
    <w:rsid w:val="2DB600C3"/>
    <w:rsid w:val="2DD227A7"/>
    <w:rsid w:val="2DFF3321"/>
    <w:rsid w:val="2E0115DF"/>
    <w:rsid w:val="2E173F56"/>
    <w:rsid w:val="2E193B83"/>
    <w:rsid w:val="2E27571E"/>
    <w:rsid w:val="2E333031"/>
    <w:rsid w:val="2E48670E"/>
    <w:rsid w:val="2E51670B"/>
    <w:rsid w:val="2E8F279C"/>
    <w:rsid w:val="2E9A5F12"/>
    <w:rsid w:val="2EB53BBB"/>
    <w:rsid w:val="2EDF107D"/>
    <w:rsid w:val="2EE5197D"/>
    <w:rsid w:val="2F341996"/>
    <w:rsid w:val="2F3E4C01"/>
    <w:rsid w:val="2F62532D"/>
    <w:rsid w:val="2F856A63"/>
    <w:rsid w:val="2FA97745"/>
    <w:rsid w:val="2FAA0FB7"/>
    <w:rsid w:val="2FCE676B"/>
    <w:rsid w:val="2FD61C3D"/>
    <w:rsid w:val="2FEF10DB"/>
    <w:rsid w:val="300563D4"/>
    <w:rsid w:val="300C45EF"/>
    <w:rsid w:val="30280C4A"/>
    <w:rsid w:val="30497748"/>
    <w:rsid w:val="30566E0B"/>
    <w:rsid w:val="306C4308"/>
    <w:rsid w:val="307160DC"/>
    <w:rsid w:val="30AB22E4"/>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216A65"/>
    <w:rsid w:val="34561EE4"/>
    <w:rsid w:val="346E51BD"/>
    <w:rsid w:val="34872233"/>
    <w:rsid w:val="348C273F"/>
    <w:rsid w:val="34942631"/>
    <w:rsid w:val="34B97FC7"/>
    <w:rsid w:val="34C1388B"/>
    <w:rsid w:val="34C31F31"/>
    <w:rsid w:val="34CD3EA1"/>
    <w:rsid w:val="34D929F4"/>
    <w:rsid w:val="34E010CD"/>
    <w:rsid w:val="34E32054"/>
    <w:rsid w:val="34FF1701"/>
    <w:rsid w:val="34FF4E5D"/>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709319D"/>
    <w:rsid w:val="370D35F7"/>
    <w:rsid w:val="372B4140"/>
    <w:rsid w:val="37384D46"/>
    <w:rsid w:val="374E6C65"/>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82062"/>
    <w:rsid w:val="3D4A65CE"/>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D4E74"/>
    <w:rsid w:val="3E9A5304"/>
    <w:rsid w:val="3EB5213D"/>
    <w:rsid w:val="3EC46393"/>
    <w:rsid w:val="3EC864CE"/>
    <w:rsid w:val="3ECE2BEE"/>
    <w:rsid w:val="3ED20FB4"/>
    <w:rsid w:val="3ED757D1"/>
    <w:rsid w:val="3EED1AC6"/>
    <w:rsid w:val="3F115329"/>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AA7185"/>
    <w:rsid w:val="45BB6D5F"/>
    <w:rsid w:val="45CA2C98"/>
    <w:rsid w:val="45D47576"/>
    <w:rsid w:val="45DB01BB"/>
    <w:rsid w:val="45DB76C3"/>
    <w:rsid w:val="460F3D59"/>
    <w:rsid w:val="461A0474"/>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A33CC1"/>
    <w:rsid w:val="47BA383E"/>
    <w:rsid w:val="47BF2FE6"/>
    <w:rsid w:val="47D5496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B1B0D"/>
    <w:rsid w:val="4A1E6E59"/>
    <w:rsid w:val="4A2328EA"/>
    <w:rsid w:val="4A2365AA"/>
    <w:rsid w:val="4A3610D0"/>
    <w:rsid w:val="4A375916"/>
    <w:rsid w:val="4A58087D"/>
    <w:rsid w:val="4AE83388"/>
    <w:rsid w:val="4B1155F2"/>
    <w:rsid w:val="4B1552CA"/>
    <w:rsid w:val="4B18275A"/>
    <w:rsid w:val="4B1F0576"/>
    <w:rsid w:val="4B415E8C"/>
    <w:rsid w:val="4B573495"/>
    <w:rsid w:val="4B5A3F42"/>
    <w:rsid w:val="4B5E4EA7"/>
    <w:rsid w:val="4B6E6D32"/>
    <w:rsid w:val="4B7701E2"/>
    <w:rsid w:val="4B801B9C"/>
    <w:rsid w:val="4B892A61"/>
    <w:rsid w:val="4BAB409D"/>
    <w:rsid w:val="4BB01A6D"/>
    <w:rsid w:val="4BBC48B1"/>
    <w:rsid w:val="4BD53B8D"/>
    <w:rsid w:val="4BD923A6"/>
    <w:rsid w:val="4BF72FE5"/>
    <w:rsid w:val="4C122693"/>
    <w:rsid w:val="4C1D24E0"/>
    <w:rsid w:val="4C3318C0"/>
    <w:rsid w:val="4C3A5AD2"/>
    <w:rsid w:val="4C796DFC"/>
    <w:rsid w:val="4C806B31"/>
    <w:rsid w:val="4C821E70"/>
    <w:rsid w:val="4CBE6D04"/>
    <w:rsid w:val="4CD2257B"/>
    <w:rsid w:val="4CD4605E"/>
    <w:rsid w:val="4CDE5122"/>
    <w:rsid w:val="4CDF647F"/>
    <w:rsid w:val="4CFF494A"/>
    <w:rsid w:val="4D1360A4"/>
    <w:rsid w:val="4D2A3A4D"/>
    <w:rsid w:val="4D2F699F"/>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EFE1BD7"/>
    <w:rsid w:val="4F1D2884"/>
    <w:rsid w:val="4F1D371F"/>
    <w:rsid w:val="4F22406F"/>
    <w:rsid w:val="4F334017"/>
    <w:rsid w:val="4F572D9B"/>
    <w:rsid w:val="4F624DEF"/>
    <w:rsid w:val="4F73115D"/>
    <w:rsid w:val="4F7D1C92"/>
    <w:rsid w:val="4F805561"/>
    <w:rsid w:val="4F891F33"/>
    <w:rsid w:val="4F8D46D4"/>
    <w:rsid w:val="4FC37AD4"/>
    <w:rsid w:val="4FE72148"/>
    <w:rsid w:val="502C581B"/>
    <w:rsid w:val="502E379C"/>
    <w:rsid w:val="50545B57"/>
    <w:rsid w:val="508D03AF"/>
    <w:rsid w:val="50A21B69"/>
    <w:rsid w:val="50DA2806"/>
    <w:rsid w:val="50E21BB2"/>
    <w:rsid w:val="50E26A6A"/>
    <w:rsid w:val="51123FD6"/>
    <w:rsid w:val="512B574F"/>
    <w:rsid w:val="513D0782"/>
    <w:rsid w:val="51481F13"/>
    <w:rsid w:val="515A1CDE"/>
    <w:rsid w:val="516C7666"/>
    <w:rsid w:val="516E5322"/>
    <w:rsid w:val="5175467C"/>
    <w:rsid w:val="51956C95"/>
    <w:rsid w:val="519B1B13"/>
    <w:rsid w:val="51A23523"/>
    <w:rsid w:val="51B9445A"/>
    <w:rsid w:val="51C8027C"/>
    <w:rsid w:val="51CD3850"/>
    <w:rsid w:val="52005544"/>
    <w:rsid w:val="523F3EF1"/>
    <w:rsid w:val="52475C76"/>
    <w:rsid w:val="5250728B"/>
    <w:rsid w:val="52582D49"/>
    <w:rsid w:val="5265133F"/>
    <w:rsid w:val="526C1D2D"/>
    <w:rsid w:val="52882208"/>
    <w:rsid w:val="528E5ED2"/>
    <w:rsid w:val="52BF14D9"/>
    <w:rsid w:val="52F26729"/>
    <w:rsid w:val="52F653CA"/>
    <w:rsid w:val="53215DC1"/>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A25E0"/>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D379F2"/>
    <w:rsid w:val="58DE77F6"/>
    <w:rsid w:val="58FF4057"/>
    <w:rsid w:val="59256822"/>
    <w:rsid w:val="592B4CAC"/>
    <w:rsid w:val="59443C29"/>
    <w:rsid w:val="594A3D24"/>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C65C5A"/>
    <w:rsid w:val="5DD45B7B"/>
    <w:rsid w:val="5DEE16F6"/>
    <w:rsid w:val="5DF9398D"/>
    <w:rsid w:val="5E0104FB"/>
    <w:rsid w:val="5E0205F0"/>
    <w:rsid w:val="5E095FD6"/>
    <w:rsid w:val="5E3C2701"/>
    <w:rsid w:val="5E5D258D"/>
    <w:rsid w:val="5E670F02"/>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21D65"/>
    <w:rsid w:val="5FB60FA1"/>
    <w:rsid w:val="5FB65919"/>
    <w:rsid w:val="5FB74B4B"/>
    <w:rsid w:val="5FC03764"/>
    <w:rsid w:val="5FCA37FF"/>
    <w:rsid w:val="5FCE51B0"/>
    <w:rsid w:val="5FE110AA"/>
    <w:rsid w:val="5FE63971"/>
    <w:rsid w:val="5FF955B8"/>
    <w:rsid w:val="60445566"/>
    <w:rsid w:val="60451A52"/>
    <w:rsid w:val="604E6B79"/>
    <w:rsid w:val="60637905"/>
    <w:rsid w:val="60702ED7"/>
    <w:rsid w:val="60716CB7"/>
    <w:rsid w:val="60E174E9"/>
    <w:rsid w:val="60E33CE0"/>
    <w:rsid w:val="60E45755"/>
    <w:rsid w:val="60F11ACC"/>
    <w:rsid w:val="61245CBB"/>
    <w:rsid w:val="613F1FCD"/>
    <w:rsid w:val="61415E1E"/>
    <w:rsid w:val="614F59B8"/>
    <w:rsid w:val="616D3845"/>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E26B0C"/>
    <w:rsid w:val="63FD232B"/>
    <w:rsid w:val="6403179D"/>
    <w:rsid w:val="64726008"/>
    <w:rsid w:val="64AD20BC"/>
    <w:rsid w:val="64D811C9"/>
    <w:rsid w:val="64E96264"/>
    <w:rsid w:val="650F0736"/>
    <w:rsid w:val="65377D1B"/>
    <w:rsid w:val="653F532E"/>
    <w:rsid w:val="65473BDD"/>
    <w:rsid w:val="65476BE1"/>
    <w:rsid w:val="654950EA"/>
    <w:rsid w:val="655728FC"/>
    <w:rsid w:val="65672B12"/>
    <w:rsid w:val="65780480"/>
    <w:rsid w:val="65AB65E0"/>
    <w:rsid w:val="65BD38F1"/>
    <w:rsid w:val="65F644BD"/>
    <w:rsid w:val="66127C70"/>
    <w:rsid w:val="662A782F"/>
    <w:rsid w:val="66587F43"/>
    <w:rsid w:val="667F07BA"/>
    <w:rsid w:val="668D261D"/>
    <w:rsid w:val="66977C7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9F66D45"/>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B17CCD"/>
    <w:rsid w:val="6BD10EA4"/>
    <w:rsid w:val="6BFB72FE"/>
    <w:rsid w:val="6BFF6700"/>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0A3214"/>
    <w:rsid w:val="6E1216CB"/>
    <w:rsid w:val="6E1B3170"/>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2075F"/>
    <w:rsid w:val="71335D2E"/>
    <w:rsid w:val="714009FD"/>
    <w:rsid w:val="714C61F5"/>
    <w:rsid w:val="715E244A"/>
    <w:rsid w:val="715F644C"/>
    <w:rsid w:val="71BA0C85"/>
    <w:rsid w:val="71BF0E37"/>
    <w:rsid w:val="71D64FBD"/>
    <w:rsid w:val="71DB7D27"/>
    <w:rsid w:val="71ED676A"/>
    <w:rsid w:val="71F202C2"/>
    <w:rsid w:val="72890517"/>
    <w:rsid w:val="72910072"/>
    <w:rsid w:val="72B56EEF"/>
    <w:rsid w:val="72CF74E1"/>
    <w:rsid w:val="730A427D"/>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4F86947"/>
    <w:rsid w:val="74FA3F1B"/>
    <w:rsid w:val="750220D2"/>
    <w:rsid w:val="750A5CA9"/>
    <w:rsid w:val="75250BC9"/>
    <w:rsid w:val="75666FB1"/>
    <w:rsid w:val="756C1133"/>
    <w:rsid w:val="7570715C"/>
    <w:rsid w:val="757A6592"/>
    <w:rsid w:val="757E70E6"/>
    <w:rsid w:val="758A36B3"/>
    <w:rsid w:val="75AE469C"/>
    <w:rsid w:val="75D937BE"/>
    <w:rsid w:val="75E609D5"/>
    <w:rsid w:val="75FC7B39"/>
    <w:rsid w:val="76277A41"/>
    <w:rsid w:val="762A3D54"/>
    <w:rsid w:val="764A4B97"/>
    <w:rsid w:val="76617C75"/>
    <w:rsid w:val="766D009F"/>
    <w:rsid w:val="767E34F8"/>
    <w:rsid w:val="76815219"/>
    <w:rsid w:val="768330F0"/>
    <w:rsid w:val="768512B9"/>
    <w:rsid w:val="768F5516"/>
    <w:rsid w:val="769F51BA"/>
    <w:rsid w:val="76A554A3"/>
    <w:rsid w:val="76C634AC"/>
    <w:rsid w:val="76ED0421"/>
    <w:rsid w:val="76FB42AC"/>
    <w:rsid w:val="771065D2"/>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8FD675F"/>
    <w:rsid w:val="79100A4F"/>
    <w:rsid w:val="791453EC"/>
    <w:rsid w:val="793F3FE9"/>
    <w:rsid w:val="794A727F"/>
    <w:rsid w:val="796A1717"/>
    <w:rsid w:val="796D27B7"/>
    <w:rsid w:val="79780691"/>
    <w:rsid w:val="797C5450"/>
    <w:rsid w:val="79915C8C"/>
    <w:rsid w:val="799B1706"/>
    <w:rsid w:val="79A71E19"/>
    <w:rsid w:val="79D067AD"/>
    <w:rsid w:val="79ED34C6"/>
    <w:rsid w:val="7A072E1B"/>
    <w:rsid w:val="7A0F12E6"/>
    <w:rsid w:val="7A1D1F55"/>
    <w:rsid w:val="7A2206AB"/>
    <w:rsid w:val="7A396334"/>
    <w:rsid w:val="7A3F6FE0"/>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8152F"/>
    <w:rsid w:val="7E6B77EA"/>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59"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240"/>
      <w:ind w:left="578" w:hanging="578"/>
      <w:outlineLvl w:val="1"/>
    </w:pPr>
    <w:rPr>
      <w:rFonts w:cs="Arial"/>
      <w:bCs/>
      <w:iCs/>
      <w:sz w:val="24"/>
      <w:szCs w:val="28"/>
      <w:lang w:val="en-US"/>
    </w:rPr>
  </w:style>
  <w:style w:type="paragraph" w:styleId="4">
    <w:name w:val="heading 3"/>
    <w:basedOn w:val="3"/>
    <w:next w:val="1"/>
    <w:qFormat/>
    <w:uiPriority w:val="0"/>
    <w:pPr>
      <w:tabs>
        <w:tab w:val="left" w:pos="720"/>
        <w:tab w:val="clear" w:pos="576"/>
      </w:tabs>
      <w:spacing w:after="60"/>
      <w:ind w:left="720" w:hanging="720"/>
      <w:outlineLvl w:val="2"/>
    </w:pPr>
    <w:rPr>
      <w:b/>
      <w:szCs w:val="26"/>
    </w:rPr>
  </w:style>
  <w:style w:type="paragraph" w:styleId="5">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40"/>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3"/>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6"/>
    <w:unhideWhenUsed/>
    <w:qFormat/>
    <w:uiPriority w:val="0"/>
  </w:style>
  <w:style w:type="paragraph" w:styleId="18">
    <w:name w:val="Body Text Indent"/>
    <w:basedOn w:val="1"/>
    <w:qFormat/>
    <w:uiPriority w:val="0"/>
    <w:pPr>
      <w:ind w:left="283"/>
    </w:pPr>
  </w:style>
  <w:style w:type="paragraph" w:styleId="19">
    <w:name w:val="List 2"/>
    <w:basedOn w:val="20"/>
    <w:qFormat/>
    <w:uiPriority w:val="0"/>
    <w:pPr>
      <w:ind w:left="851"/>
    </w:pPr>
  </w:style>
  <w:style w:type="paragraph" w:styleId="20">
    <w:name w:val="List"/>
    <w:basedOn w:val="1"/>
    <w:qFormat/>
    <w:uiPriority w:val="0"/>
    <w:pPr>
      <w:ind w:left="283" w:hanging="283"/>
    </w:pPr>
  </w:style>
  <w:style w:type="paragraph" w:styleId="21">
    <w:name w:val="Balloon Text"/>
    <w:basedOn w:val="1"/>
    <w:link w:val="39"/>
    <w:unhideWhenUsed/>
    <w:qFormat/>
    <w:uiPriority w:val="99"/>
    <w:pPr>
      <w:spacing w:after="0"/>
    </w:pPr>
    <w:rPr>
      <w:rFonts w:ascii="Tahoma" w:hAnsi="Tahoma" w:cs="Tahoma"/>
      <w:sz w:val="16"/>
      <w:szCs w:val="16"/>
    </w:rPr>
  </w:style>
  <w:style w:type="paragraph" w:styleId="22">
    <w:name w:val="footer"/>
    <w:basedOn w:val="1"/>
    <w:link w:val="60"/>
    <w:unhideWhenUsed/>
    <w:qFormat/>
    <w:uiPriority w:val="99"/>
    <w:pPr>
      <w:tabs>
        <w:tab w:val="center" w:pos="4513"/>
        <w:tab w:val="right" w:pos="9026"/>
      </w:tabs>
    </w:pPr>
  </w:style>
  <w:style w:type="paragraph" w:styleId="23">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index 1"/>
    <w:basedOn w:val="1"/>
    <w:next w:val="1"/>
    <w:qFormat/>
    <w:uiPriority w:val="0"/>
    <w:pPr>
      <w:keepLines/>
      <w:spacing w:after="0"/>
    </w:pPr>
  </w:style>
  <w:style w:type="paragraph" w:styleId="28">
    <w:name w:val="annotation subject"/>
    <w:basedOn w:val="17"/>
    <w:next w:val="17"/>
    <w:link w:val="59"/>
    <w:unhideWhenUsed/>
    <w:qFormat/>
    <w:uiPriority w:val="99"/>
    <w:rPr>
      <w:b/>
      <w:bCs/>
    </w:rPr>
  </w:style>
  <w:style w:type="table" w:styleId="30">
    <w:name w:val="Table Grid"/>
    <w:basedOn w:val="2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page number"/>
    <w:basedOn w:val="31"/>
    <w:qFormat/>
    <w:uiPriority w:val="0"/>
  </w:style>
  <w:style w:type="character" w:styleId="34">
    <w:name w:val="FollowedHyperlink"/>
    <w:basedOn w:val="31"/>
    <w:qFormat/>
    <w:uiPriority w:val="0"/>
    <w:rPr>
      <w:color w:val="800080"/>
      <w:u w:val="single"/>
    </w:rPr>
  </w:style>
  <w:style w:type="character" w:styleId="35">
    <w:name w:val="Emphasis"/>
    <w:basedOn w:val="31"/>
    <w:qFormat/>
    <w:uiPriority w:val="0"/>
    <w:rPr>
      <w:i/>
      <w:iCs/>
    </w:rPr>
  </w:style>
  <w:style w:type="character" w:styleId="36">
    <w:name w:val="Hyperlink"/>
    <w:basedOn w:val="31"/>
    <w:unhideWhenUsed/>
    <w:qFormat/>
    <w:uiPriority w:val="99"/>
    <w:rPr>
      <w:color w:val="0000FF"/>
      <w:u w:val="single"/>
    </w:rPr>
  </w:style>
  <w:style w:type="character" w:styleId="37">
    <w:name w:val="annotation reference"/>
    <w:basedOn w:val="31"/>
    <w:unhideWhenUsed/>
    <w:qFormat/>
    <w:uiPriority w:val="0"/>
    <w:rPr>
      <w:sz w:val="16"/>
      <w:szCs w:val="16"/>
    </w:rPr>
  </w:style>
  <w:style w:type="character" w:styleId="38">
    <w:name w:val="footnote reference"/>
    <w:basedOn w:val="31"/>
    <w:unhideWhenUsed/>
    <w:qFormat/>
    <w:uiPriority w:val="99"/>
    <w:rPr>
      <w:vertAlign w:val="superscript"/>
    </w:rPr>
  </w:style>
  <w:style w:type="character" w:customStyle="1" w:styleId="39">
    <w:name w:val="批注框文本 Char"/>
    <w:basedOn w:val="31"/>
    <w:link w:val="21"/>
    <w:semiHidden/>
    <w:qFormat/>
    <w:uiPriority w:val="99"/>
    <w:rPr>
      <w:rFonts w:ascii="Tahoma" w:hAnsi="Tahoma" w:eastAsia="Times New Roman" w:cs="Tahoma"/>
      <w:sz w:val="16"/>
      <w:szCs w:val="16"/>
      <w:lang w:val="en-GB"/>
    </w:rPr>
  </w:style>
  <w:style w:type="character" w:customStyle="1" w:styleId="40">
    <w:name w:val="题注 Char"/>
    <w:basedOn w:val="31"/>
    <w:link w:val="13"/>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7"/>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3"/>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28"/>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2"/>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20"/>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8"/>
    <w:qFormat/>
    <w:uiPriority w:val="0"/>
    <w:pPr>
      <w:jc w:val="center"/>
    </w:pPr>
  </w:style>
  <w:style w:type="character" w:customStyle="1" w:styleId="69">
    <w:name w:val="msoins"/>
    <w:basedOn w:val="31"/>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9"/>
    <w:link w:val="70"/>
    <w:qFormat/>
    <w:uiPriority w:val="0"/>
    <w:pPr>
      <w:overflowPunct/>
      <w:autoSpaceDE/>
      <w:autoSpaceDN/>
      <w:adjustRightInd/>
      <w:ind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1"/>
    <w:qFormat/>
    <w:uiPriority w:val="0"/>
    <w:rPr>
      <w:lang w:val="en-GB" w:eastAsia="en-US" w:bidi="ar-SA"/>
    </w:rPr>
  </w:style>
  <w:style w:type="character" w:customStyle="1" w:styleId="75">
    <w:name w:val="B1 Char"/>
    <w:basedOn w:val="31"/>
    <w:qFormat/>
    <w:uiPriority w:val="0"/>
    <w:rPr>
      <w:rFonts w:ascii="Times New Roman" w:hAnsi="Times New Roman"/>
      <w:lang w:val="en-GB" w:eastAsia="en-US"/>
    </w:rPr>
  </w:style>
  <w:style w:type="character" w:customStyle="1" w:styleId="76">
    <w:name w:val="PL Char"/>
    <w:basedOn w:val="31"/>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20"/>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15"/>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10">
    <w:name w:val="List Paragraph3"/>
    <w:basedOn w:val="1"/>
    <w:qFormat/>
    <w:uiPriority w:val="34"/>
    <w:pPr>
      <w:ind w:left="840" w:leftChars="400"/>
    </w:pPr>
  </w:style>
  <w:style w:type="paragraph" w:customStyle="1" w:styleId="111">
    <w:name w:val="List Paragraph31"/>
    <w:basedOn w:val="1"/>
    <w:qFormat/>
    <w:uiPriority w:val="0"/>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112">
    <w:name w:val="List Paragraph"/>
    <w:basedOn w:val="1"/>
    <w:qFormat/>
    <w:uiPriority w:val="34"/>
    <w:pPr>
      <w:ind w:left="840" w:leftChars="400"/>
    </w:pPr>
  </w:style>
  <w:style w:type="character" w:styleId="113">
    <w:name w:val="Placeholder Text"/>
    <w:semiHidden/>
    <w:qFormat/>
    <w:uiPriority w:val="99"/>
    <w:rPr>
      <w:color w:val="808080"/>
    </w:rPr>
  </w:style>
  <w:style w:type="character" w:customStyle="1" w:styleId="114">
    <w:name w:val="ZGSM"/>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970846-9096-4EFC-9D33-A1A16FC43EF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2042</Words>
  <Characters>11645</Characters>
  <Lines>97</Lines>
  <Paragraphs>27</Paragraphs>
  <TotalTime>3</TotalTime>
  <ScaleCrop>false</ScaleCrop>
  <LinksUpToDate>false</LinksUpToDate>
  <CharactersWithSpaces>13660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2022-03-11T07:30:00Z</dcterms:created>
  <dc:creator>ZTE</dc:creator>
  <cp:lastModifiedBy>ZTE-Youjun</cp:lastModifiedBy>
  <cp:lastPrinted>2011-10-28T07:16:00Z</cp:lastPrinted>
  <dcterms:modified xsi:type="dcterms:W3CDTF">2022-03-11T07:45:28Z</dcterms:modified>
  <dc:title>RedCap evolution in Rel-18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